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73" w:rsidRPr="0010692F" w:rsidRDefault="007479F6" w:rsidP="007479F6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92F">
        <w:rPr>
          <w:rFonts w:ascii="Times New Roman" w:hAnsi="Times New Roman" w:cs="Times New Roman"/>
          <w:b/>
          <w:sz w:val="26"/>
          <w:szCs w:val="26"/>
        </w:rPr>
        <w:t>КОНТРОЛЬНО-</w:t>
      </w:r>
      <w:r w:rsidR="00D92773" w:rsidRPr="0010692F">
        <w:rPr>
          <w:rFonts w:ascii="Times New Roman" w:hAnsi="Times New Roman" w:cs="Times New Roman"/>
          <w:b/>
          <w:sz w:val="26"/>
          <w:szCs w:val="26"/>
        </w:rPr>
        <w:t>СЧЕТНАЯ ПАЛАТА ГОРОДСКОГО ОКРУГА АНАДЫРЬ</w:t>
      </w:r>
    </w:p>
    <w:p w:rsidR="00D92773" w:rsidRPr="007479F6" w:rsidRDefault="00D92773" w:rsidP="00D92773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</w:t>
      </w: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Pr="007479F6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Pr="007479F6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Pr="007479F6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10CD" w:rsidRPr="007479F6" w:rsidRDefault="001110C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9EE" w:rsidRPr="007479F6" w:rsidRDefault="001649EE" w:rsidP="000D619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5E" w:rsidRPr="007479F6" w:rsidRDefault="001110CD" w:rsidP="000D619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9F6">
        <w:rPr>
          <w:rFonts w:ascii="Times New Roman" w:hAnsi="Times New Roman"/>
          <w:b/>
          <w:sz w:val="28"/>
          <w:szCs w:val="28"/>
        </w:rPr>
        <w:t>Стандарт организации деятельности</w:t>
      </w:r>
    </w:p>
    <w:p w:rsidR="00584A5E" w:rsidRPr="007479F6" w:rsidRDefault="00584A5E" w:rsidP="000D619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5E" w:rsidRPr="007479F6" w:rsidRDefault="00CE6BA0" w:rsidP="0038335D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9F6">
        <w:rPr>
          <w:rFonts w:ascii="Times New Roman" w:hAnsi="Times New Roman"/>
          <w:b/>
          <w:sz w:val="28"/>
          <w:szCs w:val="28"/>
        </w:rPr>
        <w:t>«</w:t>
      </w:r>
      <w:r w:rsidR="001110CD" w:rsidRPr="007479F6">
        <w:rPr>
          <w:rFonts w:ascii="Times New Roman" w:hAnsi="Times New Roman"/>
          <w:b/>
          <w:sz w:val="28"/>
          <w:szCs w:val="28"/>
        </w:rPr>
        <w:t>Порядок</w:t>
      </w:r>
      <w:r w:rsidR="00991A0D" w:rsidRPr="007479F6">
        <w:rPr>
          <w:rFonts w:ascii="Times New Roman" w:hAnsi="Times New Roman"/>
          <w:b/>
          <w:sz w:val="28"/>
          <w:szCs w:val="28"/>
        </w:rPr>
        <w:t xml:space="preserve"> разработк</w:t>
      </w:r>
      <w:r w:rsidR="001110CD" w:rsidRPr="007479F6">
        <w:rPr>
          <w:rFonts w:ascii="Times New Roman" w:hAnsi="Times New Roman"/>
          <w:b/>
          <w:sz w:val="28"/>
          <w:szCs w:val="28"/>
        </w:rPr>
        <w:t>и</w:t>
      </w:r>
      <w:r w:rsidR="00991A0D" w:rsidRPr="007479F6">
        <w:rPr>
          <w:rFonts w:ascii="Times New Roman" w:hAnsi="Times New Roman"/>
          <w:b/>
          <w:sz w:val="28"/>
          <w:szCs w:val="28"/>
        </w:rPr>
        <w:t>, утверждени</w:t>
      </w:r>
      <w:r w:rsidR="001110CD" w:rsidRPr="007479F6">
        <w:rPr>
          <w:rFonts w:ascii="Times New Roman" w:hAnsi="Times New Roman"/>
          <w:b/>
          <w:sz w:val="28"/>
          <w:szCs w:val="28"/>
        </w:rPr>
        <w:t>я</w:t>
      </w:r>
      <w:r w:rsidR="00991A0D" w:rsidRPr="007479F6">
        <w:rPr>
          <w:rFonts w:ascii="Times New Roman" w:hAnsi="Times New Roman"/>
          <w:b/>
          <w:sz w:val="28"/>
          <w:szCs w:val="28"/>
        </w:rPr>
        <w:t xml:space="preserve">, актуализации </w:t>
      </w:r>
      <w:r w:rsidR="00E61D85" w:rsidRPr="007479F6">
        <w:rPr>
          <w:rFonts w:ascii="Times New Roman" w:hAnsi="Times New Roman"/>
          <w:b/>
          <w:sz w:val="28"/>
          <w:szCs w:val="28"/>
        </w:rPr>
        <w:t>стандартов внешнего</w:t>
      </w:r>
      <w:r w:rsidR="00991A0D" w:rsidRPr="007479F6">
        <w:rPr>
          <w:rFonts w:ascii="Times New Roman" w:hAnsi="Times New Roman"/>
          <w:b/>
          <w:sz w:val="28"/>
          <w:szCs w:val="28"/>
        </w:rPr>
        <w:t xml:space="preserve"> муниципального контроля для проведения контрольных и экспертно-аналитических мероприятий</w:t>
      </w:r>
      <w:r w:rsidR="00E61D85" w:rsidRPr="007479F6">
        <w:rPr>
          <w:rFonts w:ascii="Times New Roman" w:hAnsi="Times New Roman"/>
          <w:b/>
          <w:sz w:val="28"/>
          <w:szCs w:val="28"/>
        </w:rPr>
        <w:t>,</w:t>
      </w:r>
      <w:r w:rsidR="00991A0D" w:rsidRPr="007479F6">
        <w:rPr>
          <w:rFonts w:ascii="Times New Roman" w:hAnsi="Times New Roman"/>
          <w:b/>
          <w:sz w:val="28"/>
          <w:szCs w:val="28"/>
        </w:rPr>
        <w:t xml:space="preserve"> </w:t>
      </w:r>
      <w:r w:rsidR="00E61D85" w:rsidRPr="007479F6">
        <w:rPr>
          <w:rFonts w:ascii="Times New Roman" w:hAnsi="Times New Roman"/>
          <w:b/>
          <w:sz w:val="28"/>
          <w:szCs w:val="28"/>
        </w:rPr>
        <w:t>проводимых</w:t>
      </w:r>
      <w:r w:rsidR="0038335D" w:rsidRPr="007479F6">
        <w:rPr>
          <w:rFonts w:ascii="Times New Roman" w:hAnsi="Times New Roman"/>
          <w:b/>
          <w:sz w:val="28"/>
          <w:szCs w:val="28"/>
        </w:rPr>
        <w:t xml:space="preserve"> </w:t>
      </w:r>
      <w:r w:rsidR="007479F6">
        <w:rPr>
          <w:rFonts w:ascii="Times New Roman" w:hAnsi="Times New Roman"/>
          <w:b/>
          <w:sz w:val="28"/>
          <w:szCs w:val="28"/>
        </w:rPr>
        <w:t>Контрольно-</w:t>
      </w:r>
      <w:r w:rsidR="001110CD" w:rsidRPr="007479F6">
        <w:rPr>
          <w:rFonts w:ascii="Times New Roman" w:hAnsi="Times New Roman"/>
          <w:b/>
          <w:sz w:val="28"/>
          <w:szCs w:val="28"/>
        </w:rPr>
        <w:t>счетной палатой городского округа Анадырь</w:t>
      </w:r>
      <w:r w:rsidRPr="007479F6">
        <w:rPr>
          <w:rFonts w:ascii="Times New Roman" w:hAnsi="Times New Roman"/>
          <w:b/>
          <w:sz w:val="28"/>
          <w:szCs w:val="28"/>
        </w:rPr>
        <w:t>»</w:t>
      </w:r>
    </w:p>
    <w:p w:rsidR="001110CD" w:rsidRPr="007479F6" w:rsidRDefault="001110CD" w:rsidP="000D619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7479F6" w:rsidRDefault="00462E18" w:rsidP="000D619F">
      <w:pPr>
        <w:tabs>
          <w:tab w:val="left" w:pos="93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9F6">
        <w:rPr>
          <w:rFonts w:ascii="Times New Roman" w:hAnsi="Times New Roman"/>
          <w:i/>
          <w:sz w:val="28"/>
          <w:szCs w:val="28"/>
        </w:rPr>
        <w:t xml:space="preserve">(Утвержден распоряжением </w:t>
      </w:r>
      <w:r w:rsidR="007479F6">
        <w:rPr>
          <w:rFonts w:ascii="Times New Roman" w:hAnsi="Times New Roman"/>
          <w:i/>
          <w:sz w:val="28"/>
          <w:szCs w:val="28"/>
        </w:rPr>
        <w:t>Контрольно-</w:t>
      </w:r>
      <w:r w:rsidR="00CE6BA0" w:rsidRPr="007479F6">
        <w:rPr>
          <w:rFonts w:ascii="Times New Roman" w:hAnsi="Times New Roman"/>
          <w:i/>
          <w:sz w:val="28"/>
          <w:szCs w:val="28"/>
        </w:rPr>
        <w:t xml:space="preserve">счетной палаты городского округа Анадырь от </w:t>
      </w:r>
      <w:r w:rsidR="00CA2703" w:rsidRPr="007479F6">
        <w:rPr>
          <w:rFonts w:ascii="Times New Roman" w:hAnsi="Times New Roman"/>
          <w:i/>
          <w:sz w:val="28"/>
          <w:szCs w:val="28"/>
        </w:rPr>
        <w:t xml:space="preserve">1 декабря 2021 года </w:t>
      </w:r>
      <w:r w:rsidR="00CE6BA0" w:rsidRPr="007479F6">
        <w:rPr>
          <w:rFonts w:ascii="Times New Roman" w:hAnsi="Times New Roman"/>
          <w:i/>
          <w:sz w:val="28"/>
          <w:szCs w:val="28"/>
        </w:rPr>
        <w:t xml:space="preserve"> №</w:t>
      </w:r>
      <w:r w:rsidR="00CA2703" w:rsidRPr="007479F6">
        <w:rPr>
          <w:rFonts w:ascii="Times New Roman" w:hAnsi="Times New Roman"/>
          <w:i/>
          <w:sz w:val="28"/>
          <w:szCs w:val="28"/>
        </w:rPr>
        <w:t>4-рп</w:t>
      </w:r>
      <w:r w:rsidR="00CE6BA0" w:rsidRPr="007479F6">
        <w:rPr>
          <w:rFonts w:ascii="Times New Roman" w:hAnsi="Times New Roman"/>
          <w:i/>
          <w:sz w:val="28"/>
          <w:szCs w:val="28"/>
        </w:rPr>
        <w:t>)</w:t>
      </w: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4A5E" w:rsidRPr="007479F6" w:rsidRDefault="00584A5E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785C" w:rsidRPr="007479F6" w:rsidRDefault="00D92773" w:rsidP="00D92773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  <w:r w:rsidRPr="007479F6">
        <w:rPr>
          <w:rFonts w:ascii="Times New Roman" w:hAnsi="Times New Roman"/>
          <w:sz w:val="28"/>
          <w:szCs w:val="28"/>
        </w:rPr>
        <w:t>начало действия с 1 декабря 2021 года</w:t>
      </w:r>
    </w:p>
    <w:p w:rsidR="0021785C" w:rsidRPr="007479F6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Pr="007479F6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Pr="007479F6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Pr="007479F6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2773" w:rsidRPr="007479F6" w:rsidRDefault="00D9277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2773" w:rsidRDefault="00D9277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79F6" w:rsidRPr="007479F6" w:rsidRDefault="007479F6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35D" w:rsidRPr="007479F6" w:rsidRDefault="0038335D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703" w:rsidRPr="007479F6" w:rsidRDefault="00CA2703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785C" w:rsidRPr="007479F6" w:rsidRDefault="0021785C" w:rsidP="00B324DF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692F" w:rsidRDefault="0010692F" w:rsidP="00D92773">
      <w:pPr>
        <w:tabs>
          <w:tab w:val="left" w:pos="7320"/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24DF" w:rsidRPr="007479F6" w:rsidRDefault="00B324DF" w:rsidP="00D92773">
      <w:pPr>
        <w:tabs>
          <w:tab w:val="left" w:pos="7320"/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479F6">
        <w:rPr>
          <w:rFonts w:ascii="Times New Roman" w:hAnsi="Times New Roman"/>
          <w:sz w:val="28"/>
          <w:szCs w:val="28"/>
        </w:rPr>
        <w:t>г. Анадырь</w:t>
      </w:r>
    </w:p>
    <w:p w:rsidR="00BE5182" w:rsidRDefault="001110CD" w:rsidP="0038335D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479F6">
        <w:rPr>
          <w:rFonts w:ascii="Times New Roman" w:hAnsi="Times New Roman"/>
          <w:sz w:val="28"/>
          <w:szCs w:val="28"/>
        </w:rPr>
        <w:t>202</w:t>
      </w:r>
      <w:r w:rsidR="008761D0" w:rsidRPr="007479F6">
        <w:rPr>
          <w:rFonts w:ascii="Times New Roman" w:hAnsi="Times New Roman"/>
          <w:sz w:val="28"/>
          <w:szCs w:val="28"/>
        </w:rPr>
        <w:t>1</w:t>
      </w:r>
      <w:r w:rsidRPr="007479F6">
        <w:rPr>
          <w:rFonts w:ascii="Times New Roman" w:hAnsi="Times New Roman"/>
          <w:sz w:val="28"/>
          <w:szCs w:val="28"/>
        </w:rPr>
        <w:t xml:space="preserve"> </w:t>
      </w:r>
      <w:r w:rsidR="00B324DF" w:rsidRPr="007479F6">
        <w:rPr>
          <w:rFonts w:ascii="Times New Roman" w:hAnsi="Times New Roman"/>
          <w:sz w:val="28"/>
          <w:szCs w:val="28"/>
        </w:rPr>
        <w:t>год</w:t>
      </w:r>
    </w:p>
    <w:p w:rsidR="0010692F" w:rsidRPr="007479F6" w:rsidRDefault="0010692F" w:rsidP="0038335D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673"/>
      </w:tblGrid>
      <w:tr w:rsidR="00BE5182" w:rsidRPr="007479F6" w:rsidTr="007479F6">
        <w:tc>
          <w:tcPr>
            <w:tcW w:w="9570" w:type="dxa"/>
            <w:gridSpan w:val="3"/>
          </w:tcPr>
          <w:p w:rsidR="00BE5182" w:rsidRPr="007479F6" w:rsidRDefault="00BE5182" w:rsidP="00BE5182">
            <w:pPr>
              <w:tabs>
                <w:tab w:val="left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479F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BE5182" w:rsidRPr="007479F6" w:rsidRDefault="00BE5182" w:rsidP="00BE5182">
            <w:pPr>
              <w:tabs>
                <w:tab w:val="left" w:pos="93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5182" w:rsidRPr="007479F6" w:rsidTr="007479F6">
        <w:tc>
          <w:tcPr>
            <w:tcW w:w="534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BE5182" w:rsidRPr="007479F6" w:rsidRDefault="00BE5182" w:rsidP="00BE5182">
            <w:pPr>
              <w:tabs>
                <w:tab w:val="left" w:pos="9356"/>
              </w:tabs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Общие положения……………………..…………………..……………</w:t>
            </w:r>
          </w:p>
        </w:tc>
        <w:tc>
          <w:tcPr>
            <w:tcW w:w="673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182" w:rsidRPr="007479F6" w:rsidTr="007479F6">
        <w:tc>
          <w:tcPr>
            <w:tcW w:w="534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Методологическое обеспечение деятельности Контрольно-счетной палаты………………………………………………………………........</w:t>
            </w:r>
          </w:p>
        </w:tc>
        <w:tc>
          <w:tcPr>
            <w:tcW w:w="673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600E" w:rsidRPr="007479F6" w:rsidRDefault="002C600E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182" w:rsidRPr="007479F6" w:rsidTr="007479F6">
        <w:tc>
          <w:tcPr>
            <w:tcW w:w="534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Виды документов по методологическому обеспечению деятельности Контрольно</w:t>
            </w:r>
            <w:r w:rsidR="007479F6">
              <w:rPr>
                <w:rFonts w:ascii="Times New Roman" w:hAnsi="Times New Roman"/>
                <w:sz w:val="28"/>
                <w:szCs w:val="28"/>
              </w:rPr>
              <w:t>-</w:t>
            </w:r>
            <w:r w:rsidRPr="007479F6">
              <w:rPr>
                <w:rFonts w:ascii="Times New Roman" w:hAnsi="Times New Roman"/>
                <w:sz w:val="28"/>
                <w:szCs w:val="28"/>
              </w:rPr>
              <w:t>счетной палаты, основные требования к их содержанию………………………………………………………….</w:t>
            </w:r>
          </w:p>
        </w:tc>
        <w:tc>
          <w:tcPr>
            <w:tcW w:w="673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600E" w:rsidRPr="007479F6" w:rsidRDefault="002C600E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5182" w:rsidRPr="007479F6" w:rsidTr="007479F6">
        <w:tc>
          <w:tcPr>
            <w:tcW w:w="534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Разработки стандартов и методических документов Контрольно-счетной палаты………………………………………………………….</w:t>
            </w:r>
          </w:p>
        </w:tc>
        <w:tc>
          <w:tcPr>
            <w:tcW w:w="673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600E" w:rsidRPr="007479F6" w:rsidRDefault="002C600E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EB459E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E5182" w:rsidRPr="007479F6" w:rsidTr="007479F6">
        <w:tc>
          <w:tcPr>
            <w:tcW w:w="534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Внесение изменений в стандарты и методические документы Контрольно-счетной палаты, признание их утратившими силу…….</w:t>
            </w:r>
          </w:p>
        </w:tc>
        <w:tc>
          <w:tcPr>
            <w:tcW w:w="673" w:type="dxa"/>
          </w:tcPr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600E" w:rsidRPr="007479F6" w:rsidRDefault="002C600E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182" w:rsidRPr="007479F6" w:rsidRDefault="00BE5182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3AF2" w:rsidRPr="007479F6" w:rsidTr="007479F6">
        <w:tc>
          <w:tcPr>
            <w:tcW w:w="8897" w:type="dxa"/>
            <w:gridSpan w:val="2"/>
          </w:tcPr>
          <w:p w:rsidR="00AB33E1" w:rsidRPr="007479F6" w:rsidRDefault="00AB33E1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3AF2" w:rsidRPr="007479F6" w:rsidRDefault="00023AF2" w:rsidP="00BE5182">
            <w:pPr>
              <w:tabs>
                <w:tab w:val="left" w:pos="93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9F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B33E1" w:rsidRPr="007479F6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73" w:type="dxa"/>
          </w:tcPr>
          <w:p w:rsidR="00AB33E1" w:rsidRPr="007479F6" w:rsidRDefault="00AB33E1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AF2" w:rsidRPr="007479F6" w:rsidRDefault="0040353F" w:rsidP="002241D1">
            <w:pPr>
              <w:tabs>
                <w:tab w:val="left" w:pos="9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241D1" w:rsidRPr="007479F6" w:rsidRDefault="00584A5E" w:rsidP="002241D1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79F6">
        <w:rPr>
          <w:rFonts w:ascii="Times New Roman" w:hAnsi="Times New Roman"/>
          <w:b/>
          <w:sz w:val="28"/>
          <w:szCs w:val="28"/>
        </w:rPr>
        <w:br w:type="page"/>
      </w:r>
    </w:p>
    <w:p w:rsidR="00584A5E" w:rsidRPr="007479F6" w:rsidRDefault="00F61CC9" w:rsidP="00DF75B5">
      <w:pPr>
        <w:pStyle w:val="1"/>
        <w:tabs>
          <w:tab w:val="left" w:pos="284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1" w:name="_Toc271273132"/>
      <w:bookmarkStart w:id="2" w:name="_Toc515531213"/>
      <w:bookmarkStart w:id="3" w:name="_Toc515531292"/>
      <w:r w:rsidRPr="007479F6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7479F6">
        <w:rPr>
          <w:rFonts w:ascii="Times New Roman" w:hAnsi="Times New Roman"/>
          <w:b w:val="0"/>
          <w:sz w:val="28"/>
          <w:szCs w:val="28"/>
        </w:rPr>
        <w:tab/>
      </w:r>
      <w:r w:rsidRPr="007479F6">
        <w:rPr>
          <w:rFonts w:ascii="Times New Roman" w:hAnsi="Times New Roman"/>
          <w:sz w:val="28"/>
          <w:szCs w:val="28"/>
        </w:rPr>
        <w:t xml:space="preserve">1. </w:t>
      </w:r>
      <w:r w:rsidR="00584A5E" w:rsidRPr="007479F6">
        <w:rPr>
          <w:rFonts w:ascii="Times New Roman" w:hAnsi="Times New Roman"/>
          <w:sz w:val="28"/>
          <w:szCs w:val="28"/>
        </w:rPr>
        <w:t>Общие положения</w:t>
      </w:r>
      <w:bookmarkEnd w:id="1"/>
      <w:bookmarkEnd w:id="2"/>
      <w:bookmarkEnd w:id="3"/>
    </w:p>
    <w:p w:rsidR="00C865C3" w:rsidRPr="00302A8A" w:rsidRDefault="007E2F88" w:rsidP="00DF75B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 xml:space="preserve">1.1. </w:t>
      </w:r>
      <w:r w:rsidR="0014757E" w:rsidRPr="007479F6">
        <w:rPr>
          <w:rFonts w:ascii="Times New Roman" w:hAnsi="Times New Roman" w:cs="Times New Roman"/>
          <w:sz w:val="28"/>
          <w:szCs w:val="28"/>
        </w:rPr>
        <w:t>Стандарт организации деятельности «</w:t>
      </w:r>
      <w:r w:rsidR="00C865C3" w:rsidRPr="007479F6">
        <w:rPr>
          <w:rFonts w:ascii="Times New Roman" w:hAnsi="Times New Roman" w:cs="Times New Roman"/>
          <w:sz w:val="28"/>
          <w:szCs w:val="28"/>
        </w:rPr>
        <w:t xml:space="preserve">Порядок разработки, утверждения, актуализации стандартов внешнего муниципального контроля для проведения контрольных и экспертно-аналитических мероприятий, проводимых </w:t>
      </w:r>
      <w:r w:rsidR="007479F6">
        <w:rPr>
          <w:rFonts w:ascii="Times New Roman" w:hAnsi="Times New Roman" w:cs="Times New Roman"/>
          <w:sz w:val="28"/>
          <w:szCs w:val="28"/>
        </w:rPr>
        <w:t>Контрольно-</w:t>
      </w:r>
      <w:r w:rsidR="00C865C3" w:rsidRPr="007479F6">
        <w:rPr>
          <w:rFonts w:ascii="Times New Roman" w:hAnsi="Times New Roman" w:cs="Times New Roman"/>
          <w:sz w:val="28"/>
          <w:szCs w:val="28"/>
        </w:rPr>
        <w:t>счетной палатой городского округа Анадырь</w:t>
      </w:r>
      <w:r w:rsidR="007479F6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14757E" w:rsidRPr="007479F6">
        <w:rPr>
          <w:rFonts w:ascii="Times New Roman" w:hAnsi="Times New Roman" w:cs="Times New Roman"/>
          <w:sz w:val="28"/>
          <w:szCs w:val="28"/>
        </w:rPr>
        <w:t>Стандарт) разработан в соответствии с Федеральным зако</w:t>
      </w:r>
      <w:r w:rsidR="00C9332C">
        <w:rPr>
          <w:rFonts w:ascii="Times New Roman" w:hAnsi="Times New Roman" w:cs="Times New Roman"/>
          <w:sz w:val="28"/>
          <w:szCs w:val="28"/>
        </w:rPr>
        <w:t xml:space="preserve">ном          от </w:t>
      </w:r>
      <w:r w:rsidR="00C865C3" w:rsidRPr="007479F6">
        <w:rPr>
          <w:rFonts w:ascii="Times New Roman" w:hAnsi="Times New Roman" w:cs="Times New Roman"/>
          <w:sz w:val="28"/>
          <w:szCs w:val="28"/>
        </w:rPr>
        <w:t xml:space="preserve">7 февраля </w:t>
      </w:r>
      <w:r w:rsidR="0014757E" w:rsidRPr="007479F6">
        <w:rPr>
          <w:rFonts w:ascii="Times New Roman" w:hAnsi="Times New Roman" w:cs="Times New Roman"/>
          <w:sz w:val="28"/>
          <w:szCs w:val="28"/>
        </w:rPr>
        <w:t>2011</w:t>
      </w:r>
      <w:r w:rsidR="00C933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757E" w:rsidRPr="007479F6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</w:t>
      </w:r>
      <w:r w:rsidR="00C865C3" w:rsidRPr="007479F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865C3" w:rsidRPr="00302A8A">
        <w:rPr>
          <w:rFonts w:ascii="Times New Roman" w:hAnsi="Times New Roman" w:cs="Times New Roman"/>
          <w:sz w:val="28"/>
          <w:szCs w:val="28"/>
        </w:rPr>
        <w:t>Анадырь</w:t>
      </w:r>
      <w:r w:rsidR="0014757E" w:rsidRPr="00302A8A">
        <w:rPr>
          <w:rFonts w:ascii="Times New Roman" w:hAnsi="Times New Roman" w:cs="Times New Roman"/>
          <w:sz w:val="28"/>
          <w:szCs w:val="28"/>
        </w:rPr>
        <w:t>, утвержденным решением Совета</w:t>
      </w:r>
      <w:r w:rsidR="00C865C3" w:rsidRPr="00302A8A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 Анадырь </w:t>
      </w:r>
      <w:r w:rsidR="0014757E" w:rsidRPr="00302A8A">
        <w:rPr>
          <w:rFonts w:ascii="Times New Roman" w:hAnsi="Times New Roman" w:cs="Times New Roman"/>
          <w:sz w:val="28"/>
          <w:szCs w:val="28"/>
        </w:rPr>
        <w:t xml:space="preserve">от </w:t>
      </w:r>
      <w:r w:rsidR="00CA2703" w:rsidRPr="00302A8A">
        <w:rPr>
          <w:rFonts w:ascii="Times New Roman" w:hAnsi="Times New Roman" w:cs="Times New Roman"/>
          <w:sz w:val="28"/>
          <w:szCs w:val="28"/>
        </w:rPr>
        <w:t xml:space="preserve">25 ноября 2021 года </w:t>
      </w:r>
      <w:r w:rsidR="00C865C3" w:rsidRPr="00302A8A">
        <w:rPr>
          <w:rFonts w:ascii="Times New Roman" w:hAnsi="Times New Roman" w:cs="Times New Roman"/>
          <w:sz w:val="28"/>
          <w:szCs w:val="28"/>
        </w:rPr>
        <w:t>№</w:t>
      </w:r>
      <w:r w:rsidR="00CA2703" w:rsidRPr="00302A8A">
        <w:rPr>
          <w:rFonts w:ascii="Times New Roman" w:hAnsi="Times New Roman" w:cs="Times New Roman"/>
          <w:sz w:val="28"/>
          <w:szCs w:val="28"/>
        </w:rPr>
        <w:t>187</w:t>
      </w:r>
      <w:r w:rsidR="0014757E" w:rsidRPr="00302A8A">
        <w:rPr>
          <w:rFonts w:ascii="Times New Roman" w:hAnsi="Times New Roman" w:cs="Times New Roman"/>
          <w:sz w:val="28"/>
          <w:szCs w:val="28"/>
        </w:rPr>
        <w:t xml:space="preserve">, Регламентом Контрольно-счетной палаты </w:t>
      </w:r>
      <w:r w:rsidR="00C865C3" w:rsidRPr="00302A8A">
        <w:rPr>
          <w:rFonts w:ascii="Times New Roman" w:hAnsi="Times New Roman" w:cs="Times New Roman"/>
          <w:sz w:val="28"/>
          <w:szCs w:val="28"/>
        </w:rPr>
        <w:t>Контрольно - счетной палаты городского округа Анадырь, утвержденным распоряж</w:t>
      </w:r>
      <w:r w:rsidR="007479F6" w:rsidRPr="00302A8A">
        <w:rPr>
          <w:rFonts w:ascii="Times New Roman" w:hAnsi="Times New Roman" w:cs="Times New Roman"/>
          <w:sz w:val="28"/>
          <w:szCs w:val="28"/>
        </w:rPr>
        <w:t>ением Председателя Контрольно-</w:t>
      </w:r>
      <w:r w:rsidR="00C865C3" w:rsidRPr="00302A8A">
        <w:rPr>
          <w:rFonts w:ascii="Times New Roman" w:hAnsi="Times New Roman" w:cs="Times New Roman"/>
          <w:sz w:val="28"/>
          <w:szCs w:val="28"/>
        </w:rPr>
        <w:t>счетной палаты городского округа Анадырь от 1 декабря 2021 года №1-рп.</w:t>
      </w:r>
    </w:p>
    <w:p w:rsidR="00B94323" w:rsidRPr="00302A8A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8A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</w:t>
      </w:r>
      <w:r w:rsidR="00B94323" w:rsidRPr="00302A8A">
        <w:rPr>
          <w:rFonts w:ascii="Times New Roman" w:hAnsi="Times New Roman"/>
          <w:spacing w:val="-2"/>
          <w:sz w:val="28"/>
          <w:szCs w:val="28"/>
        </w:rPr>
        <w:t xml:space="preserve">Общими требованиями к стандартам </w:t>
      </w:r>
      <w:r w:rsidR="00B94323" w:rsidRPr="00302A8A">
        <w:rPr>
          <w:rFonts w:ascii="Times New Roman" w:hAnsi="Times New Roman" w:cs="Times New Roman"/>
          <w:sz w:val="28"/>
          <w:szCs w:val="28"/>
        </w:rPr>
        <w:t>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утвержденные Коллегией Счетной палаты РФ, протокол от 17 октября 2014 года № 47К (993).</w:t>
      </w:r>
    </w:p>
    <w:p w:rsidR="0014757E" w:rsidRPr="0010692F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8A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общих правил и процедур</w:t>
      </w:r>
      <w:r w:rsidR="00C865C3" w:rsidRPr="00302A8A">
        <w:rPr>
          <w:rFonts w:ascii="Times New Roman" w:hAnsi="Times New Roman" w:cs="Times New Roman"/>
          <w:sz w:val="28"/>
          <w:szCs w:val="28"/>
        </w:rPr>
        <w:t xml:space="preserve"> </w:t>
      </w:r>
      <w:r w:rsidRPr="00302A8A">
        <w:rPr>
          <w:rFonts w:ascii="Times New Roman" w:hAnsi="Times New Roman" w:cs="Times New Roman"/>
          <w:sz w:val="28"/>
          <w:szCs w:val="28"/>
        </w:rPr>
        <w:t>организации методологического</w:t>
      </w:r>
      <w:r w:rsidRPr="0010692F">
        <w:rPr>
          <w:rFonts w:ascii="Times New Roman" w:hAnsi="Times New Roman" w:cs="Times New Roman"/>
          <w:sz w:val="28"/>
          <w:szCs w:val="28"/>
        </w:rPr>
        <w:t xml:space="preserve"> обеспечения деятельности Контрольно-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C865C3" w:rsidRPr="0010692F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7479F6" w:rsidRPr="0010692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9332C">
        <w:rPr>
          <w:rFonts w:ascii="Times New Roman" w:hAnsi="Times New Roman" w:cs="Times New Roman"/>
          <w:sz w:val="28"/>
          <w:szCs w:val="28"/>
        </w:rPr>
        <w:t xml:space="preserve"> - </w:t>
      </w:r>
      <w:r w:rsidR="0010692F" w:rsidRPr="0010692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10692F">
        <w:rPr>
          <w:rFonts w:ascii="Times New Roman" w:hAnsi="Times New Roman" w:cs="Times New Roman"/>
          <w:sz w:val="28"/>
          <w:szCs w:val="28"/>
        </w:rPr>
        <w:t>) для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>обеспечения эффективной организации осуществления полномочий (д</w:t>
      </w:r>
      <w:r w:rsidR="003C7598" w:rsidRPr="0010692F">
        <w:rPr>
          <w:rFonts w:ascii="Times New Roman" w:hAnsi="Times New Roman" w:cs="Times New Roman"/>
          <w:sz w:val="28"/>
          <w:szCs w:val="28"/>
        </w:rPr>
        <w:t xml:space="preserve">алее - </w:t>
      </w:r>
      <w:r w:rsidRPr="0010692F">
        <w:rPr>
          <w:rFonts w:ascii="Times New Roman" w:hAnsi="Times New Roman" w:cs="Times New Roman"/>
          <w:sz w:val="28"/>
          <w:szCs w:val="28"/>
        </w:rPr>
        <w:t>методологическое обеспечение).</w:t>
      </w:r>
    </w:p>
    <w:p w:rsidR="0014757E" w:rsidRPr="0010692F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F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14757E" w:rsidRPr="0010692F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F">
        <w:rPr>
          <w:rFonts w:ascii="Times New Roman" w:hAnsi="Times New Roman" w:cs="Times New Roman"/>
          <w:sz w:val="28"/>
          <w:szCs w:val="28"/>
        </w:rPr>
        <w:t>- определение видов документов по методологическому обеспечению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0692F" w:rsidRPr="0010692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10692F">
        <w:rPr>
          <w:rFonts w:ascii="Times New Roman" w:hAnsi="Times New Roman" w:cs="Times New Roman"/>
          <w:sz w:val="28"/>
          <w:szCs w:val="28"/>
        </w:rPr>
        <w:t>;</w:t>
      </w:r>
    </w:p>
    <w:p w:rsidR="0014757E" w:rsidRPr="0010692F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F">
        <w:rPr>
          <w:rFonts w:ascii="Times New Roman" w:hAnsi="Times New Roman" w:cs="Times New Roman"/>
          <w:sz w:val="28"/>
          <w:szCs w:val="28"/>
        </w:rPr>
        <w:t>- установление требования к содержанию стандартов и методических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0692F" w:rsidRPr="0010692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10692F">
        <w:rPr>
          <w:rFonts w:ascii="Times New Roman" w:hAnsi="Times New Roman" w:cs="Times New Roman"/>
          <w:sz w:val="28"/>
          <w:szCs w:val="28"/>
        </w:rPr>
        <w:t>;</w:t>
      </w:r>
    </w:p>
    <w:p w:rsidR="0014757E" w:rsidRPr="0010692F" w:rsidRDefault="0014757E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F">
        <w:rPr>
          <w:rFonts w:ascii="Times New Roman" w:hAnsi="Times New Roman" w:cs="Times New Roman"/>
          <w:sz w:val="28"/>
          <w:szCs w:val="28"/>
        </w:rPr>
        <w:t>- определение порядка подготовки, согласования, утверждения и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>введения в действие стандартов и методических документов Контрольно-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>счетной палаты;</w:t>
      </w:r>
    </w:p>
    <w:p w:rsidR="00F61CC9" w:rsidRPr="0010692F" w:rsidRDefault="0014757E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F">
        <w:rPr>
          <w:rFonts w:ascii="Times New Roman" w:hAnsi="Times New Roman" w:cs="Times New Roman"/>
          <w:sz w:val="28"/>
          <w:szCs w:val="28"/>
        </w:rPr>
        <w:t>- определение порядка внесения изменений в стандарты и методические</w:t>
      </w:r>
      <w:r w:rsidR="00C865C3" w:rsidRPr="0010692F">
        <w:rPr>
          <w:rFonts w:ascii="Times New Roman" w:hAnsi="Times New Roman" w:cs="Times New Roman"/>
          <w:sz w:val="28"/>
          <w:szCs w:val="28"/>
        </w:rPr>
        <w:t xml:space="preserve"> </w:t>
      </w:r>
      <w:r w:rsidRPr="0010692F">
        <w:rPr>
          <w:rFonts w:ascii="Times New Roman" w:hAnsi="Times New Roman" w:cs="Times New Roman"/>
          <w:sz w:val="28"/>
          <w:szCs w:val="28"/>
        </w:rPr>
        <w:t>документы Контрольно-счетной палаты и признания их утратившими силу.</w:t>
      </w:r>
    </w:p>
    <w:p w:rsidR="00F61CC9" w:rsidRPr="007479F6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5C3" w:rsidRPr="007479F6" w:rsidRDefault="00C865C3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b/>
          <w:sz w:val="28"/>
          <w:szCs w:val="28"/>
        </w:rPr>
        <w:t>2</w:t>
      </w:r>
      <w:r w:rsidR="00930F43" w:rsidRPr="007479F6">
        <w:rPr>
          <w:rFonts w:ascii="Times New Roman" w:hAnsi="Times New Roman" w:cs="Times New Roman"/>
          <w:b/>
          <w:sz w:val="28"/>
          <w:szCs w:val="28"/>
        </w:rPr>
        <w:t>.</w:t>
      </w:r>
      <w:r w:rsidRPr="007479F6">
        <w:rPr>
          <w:rFonts w:ascii="Times New Roman" w:hAnsi="Times New Roman" w:cs="Times New Roman"/>
          <w:b/>
          <w:sz w:val="28"/>
          <w:szCs w:val="28"/>
        </w:rPr>
        <w:t xml:space="preserve"> Методологическое обеспечение деятельности Контрольно-счетной палаты 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 xml:space="preserve">2.1. Методологическое обеспечение деятельности Контрольно-счетной палаты осуществляется в целях формирования и совершенствования системы внутреннего методического регулирования деятельности Контрольно-счетной способствующей качественному выполнению полномочий, </w:t>
      </w:r>
      <w:r w:rsidRPr="007479F6">
        <w:rPr>
          <w:rFonts w:ascii="Times New Roman" w:hAnsi="Times New Roman" w:cs="Times New Roman"/>
          <w:sz w:val="28"/>
          <w:szCs w:val="28"/>
        </w:rPr>
        <w:lastRenderedPageBreak/>
        <w:t>возложенных на Контрольно-счетную палату, повышению уровня эффективности ее контрольной и экспертно-аналитической деятельности.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2.2. Задачами методологического обеспечения являются: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создание единой системы взаимоувязанных стандартов и методических документов, обеспечивающих всесторонний контроль за исполнением бюджета городского округа Анадырь с учетом всех форм и видов деятельности Контрольно-счетной палаты;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 xml:space="preserve">- поддержание в актуальном состоянии, соответствующем законодательству Российской Федерации и законодательству </w:t>
      </w:r>
      <w:r w:rsidR="001F2222" w:rsidRPr="007479F6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Pr="007479F6">
        <w:rPr>
          <w:rFonts w:ascii="Times New Roman" w:hAnsi="Times New Roman" w:cs="Times New Roman"/>
          <w:sz w:val="28"/>
          <w:szCs w:val="28"/>
        </w:rPr>
        <w:t xml:space="preserve">, муниципальным нормативным правовым актам 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городского округа Анадырь </w:t>
      </w:r>
      <w:r w:rsidRPr="007479F6">
        <w:rPr>
          <w:rFonts w:ascii="Times New Roman" w:hAnsi="Times New Roman" w:cs="Times New Roman"/>
          <w:sz w:val="28"/>
          <w:szCs w:val="28"/>
        </w:rPr>
        <w:t>(далее – действующее законодательство),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стандартов и методических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документов Контрольно-счетной палаты;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совершенствование и внедрение новых методов осуществления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контрольной и экспертно-аналитической деятельности Контрольно-счетной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палаты;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изучение и внедрение передового опыта Счетной палаты Российской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Федерации, контрольно-счетных органов субъектов Российской Федерации 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муниципальных контрольно-счетных органов в области методологического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2.3. Решение задач методологического обеспечения в Контрольно-счетной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палате осуществляется путем: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разработки стандартов и методических документов;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проведения мониторинга положений стандартов и методических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документов Контрольно-счетной палаты на предмет их актуальности 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соответствия действующему законодательству;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использования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результатов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деятельности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комиссии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Союза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муниципальных контрольно-счетных органов по вопросам методического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анализа применения стандартов и методических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документов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Контрольно-счетной палаты в ходе осуществления контрольной и экспертно-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аналитической деятельности;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использования действующего законодательства, методологических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материалов, регламентирующих контрольно-ревизионную и экспертно-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аналитическую деятельность других контрольно-счетных органов, а также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обобщения опыта методологического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обеспечения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деятельности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практического опыта контрольной и экспертно-аналитической деятельности;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внесения изменений в действующие стандарты и методические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документы Контрольно-счетной палаты;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организации быстрого и удобного доступа всех сотрудников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палаты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электронным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версиям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документов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методологического обеспечения.</w:t>
      </w:r>
    </w:p>
    <w:p w:rsidR="00C865C3" w:rsidRPr="007479F6" w:rsidRDefault="00C865C3" w:rsidP="00C865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2.4. Общее руководство методологическим обеспечением деятельности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Контрольно-счетной палаты осуществляют председатель Контрольно-</w:t>
      </w:r>
      <w:r w:rsidRPr="007479F6">
        <w:rPr>
          <w:rFonts w:ascii="Times New Roman" w:hAnsi="Times New Roman" w:cs="Times New Roman"/>
          <w:sz w:val="28"/>
          <w:szCs w:val="28"/>
        </w:rPr>
        <w:lastRenderedPageBreak/>
        <w:t>счетной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палаты либо по его поручению – заместитель председателя Контрольно-счетной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палаты.</w:t>
      </w:r>
    </w:p>
    <w:p w:rsidR="00F61CC9" w:rsidRPr="007479F6" w:rsidRDefault="00C865C3" w:rsidP="00DF75B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Методологическое обеспечение деятельности Контрольно-счетной палаты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осуществля</w:t>
      </w:r>
      <w:r w:rsidR="00363C0C" w:rsidRPr="007479F6">
        <w:rPr>
          <w:rFonts w:ascii="Times New Roman" w:hAnsi="Times New Roman" w:cs="Times New Roman"/>
          <w:sz w:val="28"/>
          <w:szCs w:val="28"/>
        </w:rPr>
        <w:t xml:space="preserve">ет </w:t>
      </w:r>
      <w:r w:rsidRPr="007479F6"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Контрольно-счетной палаты, который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формирует и обновляет фонд нормативных и методических документов</w:t>
      </w:r>
      <w:r w:rsidR="001F2222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>Кон</w:t>
      </w:r>
      <w:r w:rsidR="00363C0C" w:rsidRPr="007479F6">
        <w:rPr>
          <w:rFonts w:ascii="Times New Roman" w:hAnsi="Times New Roman" w:cs="Times New Roman"/>
          <w:sz w:val="28"/>
          <w:szCs w:val="28"/>
        </w:rPr>
        <w:t>трольно-счетной палаты.</w:t>
      </w:r>
    </w:p>
    <w:p w:rsidR="00F61CC9" w:rsidRPr="007479F6" w:rsidRDefault="00F61CC9" w:rsidP="00DF75B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C" w:rsidRPr="007479F6" w:rsidRDefault="00363C0C" w:rsidP="00DF75B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b/>
          <w:sz w:val="28"/>
          <w:szCs w:val="28"/>
        </w:rPr>
        <w:t>3</w:t>
      </w:r>
      <w:r w:rsidR="00D71D99" w:rsidRPr="007479F6">
        <w:rPr>
          <w:rFonts w:ascii="Times New Roman" w:hAnsi="Times New Roman" w:cs="Times New Roman"/>
          <w:b/>
          <w:sz w:val="28"/>
          <w:szCs w:val="28"/>
        </w:rPr>
        <w:t>.</w:t>
      </w:r>
      <w:r w:rsidRPr="007479F6">
        <w:rPr>
          <w:rFonts w:ascii="Times New Roman" w:hAnsi="Times New Roman" w:cs="Times New Roman"/>
          <w:b/>
          <w:sz w:val="28"/>
          <w:szCs w:val="28"/>
        </w:rPr>
        <w:t xml:space="preserve"> Виды документов по методологическому обеспечению деятельности Контрольно-счетной палаты, основные требования к их содержанию</w:t>
      </w:r>
    </w:p>
    <w:p w:rsidR="00363C0C" w:rsidRPr="007479F6" w:rsidRDefault="00363C0C" w:rsidP="00DF75B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3.1. Документы по методологическому обеспечению деятельности Контрольно-счетной палаты разделяются на стандарты и методические документы.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3.2. Стандарты устанавливают правила, руководящие принципы и характеристики осуществления различных форм и видов деятельности Контрольно-счетной палаты для достижения оптимальной степени ее упорядоченности.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В Контрольно-счетной палате действуют стандарты организации деятельности Контрольно-счетной палаты и стандарты внешнего муниципального финансового контроля, осуществляемого Контрольно-счетной палатой (далее – стандарты внешнего муниципального финансового контроля).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Стандарты организации деятельности Контрольно-счетной палаты определяют характеристики, правила и процедуры организации и осуществления в Контрольно-счетной палате методологического обеспечения, планирования работы, подготовки отчетов, взаимодействия с другими контрольными органами и иных видов внутренней деятельности Контрольно-счетной палаты.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определяют общие требования, характеристики, правила и процедуры осуществления Контрольно-счетной палатой контрольной и экспертно-аналитической деятельности.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3.3. Методические документы содержат описание способов реализации положений стандартов Контрольно-счетной палаты или отдельных процедур осуществления видов деятельности Контрольно-счетной палаты.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Методические документы могут быть общими и специализированными.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 xml:space="preserve">Общие методические документы разрабатываются для применения в Контрольно-счетной палате и регламентируют общие вопросы осуществления контрольной и экспертно-аналитической деятельности Контрольно-счетной методические рекомендации – документ, содержащий описание рекомендуемых для выполнения способов реализации отдельных процедур контрольной, экспертно-аналитической </w:t>
      </w:r>
      <w:r w:rsidR="00F965AF">
        <w:rPr>
          <w:rFonts w:ascii="Times New Roman" w:hAnsi="Times New Roman" w:cs="Times New Roman"/>
          <w:sz w:val="28"/>
          <w:szCs w:val="28"/>
        </w:rPr>
        <w:t>и иной деятельности Контрольно-</w:t>
      </w:r>
      <w:r w:rsidRPr="007479F6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lastRenderedPageBreak/>
        <w:t>3.4. Стандарты и методические документы Контрольно-счетной палаты должны отвечать следующим основным требованиям: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законности – документ не должен содержать положения, противоречащие действующему законодательству;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целесообразности – документ должен соответствовать поставленным целям его разработки;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четкости и ясности – в документе должна быть обеспечена однозначность понимания изложенных в нем положений;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логической стройности – должны быть обеспечены последовательность и целостность изложения положений;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полноты – в одном документе должен быть максимально полно охвачен регламентируемый им предмет;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преемственности и непротиворечивости – должны быть обеспечены взаимосвязь и согласованность с ранее принятыми документами, должно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 xml:space="preserve">отсутствовать дублирование их положений; 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единства терминологической базы – должна быть обеспечена одинаковая трактовка применяемых терминов.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3.5. Стандарты и методические документы Контрольно-счетной палаты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должны иметь следующую структуру: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титульный лист (является первым листом стандарта или методического документа Контрольно-счетной палаты).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Образец оформления титульного листа приведен в приложении к Стандарту;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содержание (порядковые номера и заголовки разделов с указанием номеров страниц текста);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общие положения (указываются ссылки на российские и (или) международные стандарты, использованные при разработке стандарта или методического документа, обоснование необходимости данного документа, определение его основных терминов и понятий, описываются сфера и объекты применения, цели и задачи, а также взаимосвязь с другими документами);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содержание основных положений (сущность рассматриваемых проблем, определение основных принципов и методов, технических приемов решения вопросов, рассматриваемых в документе);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перечень законодательных и иных нормативных правовых актов, которыми необходимо руководствоваться при выполнении процедур, определенных стандартом или методическим документом (при необходимости);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приложения в виде текста, форм, таблиц, рисунков, схем, диаграмм или их сочетаний (при необходимости).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3.6. Стандарты и методические документы Контрольно-счетной палаты должны иметь реквизиты, которые состоят из: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даты вступления в силу (при необходимости);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lastRenderedPageBreak/>
        <w:t>названия – краткого и четкого изложения того, что регламентирует документ;</w:t>
      </w:r>
    </w:p>
    <w:p w:rsidR="00F61CC9" w:rsidRPr="007479F6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даты и указания, кем утвержден документ.</w:t>
      </w:r>
    </w:p>
    <w:p w:rsidR="00F61CC9" w:rsidRPr="007479F6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0C" w:rsidRPr="007479F6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b/>
          <w:sz w:val="28"/>
          <w:szCs w:val="28"/>
        </w:rPr>
        <w:t>4</w:t>
      </w:r>
      <w:r w:rsidR="00F61CC9" w:rsidRPr="007479F6">
        <w:rPr>
          <w:rFonts w:ascii="Times New Roman" w:hAnsi="Times New Roman" w:cs="Times New Roman"/>
          <w:b/>
          <w:sz w:val="28"/>
          <w:szCs w:val="28"/>
        </w:rPr>
        <w:t>.</w:t>
      </w:r>
      <w:r w:rsidRPr="007479F6">
        <w:rPr>
          <w:rFonts w:ascii="Times New Roman" w:hAnsi="Times New Roman" w:cs="Times New Roman"/>
          <w:b/>
          <w:sz w:val="28"/>
          <w:szCs w:val="28"/>
        </w:rPr>
        <w:t xml:space="preserve"> Организация разработки стандартов и методических документов</w:t>
      </w:r>
      <w:r w:rsidR="00F61CC9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4.1. Разработка стандартов и мето</w:t>
      </w:r>
      <w:r w:rsidR="00F965AF">
        <w:rPr>
          <w:rFonts w:ascii="Times New Roman" w:hAnsi="Times New Roman" w:cs="Times New Roman"/>
          <w:sz w:val="28"/>
          <w:szCs w:val="28"/>
        </w:rPr>
        <w:t>дических документов Контрольно-</w:t>
      </w:r>
      <w:r w:rsidRPr="007479F6">
        <w:rPr>
          <w:rFonts w:ascii="Times New Roman" w:hAnsi="Times New Roman" w:cs="Times New Roman"/>
          <w:sz w:val="28"/>
          <w:szCs w:val="28"/>
        </w:rPr>
        <w:t>счетной палаты осуществляется исходя из необходимости методического регулирования определенных форм и видов деятельности Контрольно-счетной палаты.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4.2. Руководство организацией разработки стандартов и методических документов Контрольно-счетной палаты в зависимости от их видов могут осуществлять: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палаты;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Контрольно-счетной палаты.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4.3. Стандарт и (или) методический документ Контрольно-счетной палаты вступает в силу с даты его утверждения.</w:t>
      </w:r>
    </w:p>
    <w:p w:rsidR="00363C0C" w:rsidRPr="007479F6" w:rsidRDefault="00363C0C" w:rsidP="00363C0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F61CC9" w:rsidRPr="007479F6" w:rsidRDefault="00363C0C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4.</w:t>
      </w:r>
      <w:r w:rsidR="00A00CB6" w:rsidRPr="007479F6">
        <w:rPr>
          <w:rFonts w:ascii="Times New Roman" w:hAnsi="Times New Roman" w:cs="Times New Roman"/>
          <w:sz w:val="28"/>
          <w:szCs w:val="28"/>
        </w:rPr>
        <w:t>4</w:t>
      </w:r>
      <w:r w:rsidRPr="007479F6">
        <w:rPr>
          <w:rFonts w:ascii="Times New Roman" w:hAnsi="Times New Roman" w:cs="Times New Roman"/>
          <w:sz w:val="28"/>
          <w:szCs w:val="28"/>
        </w:rPr>
        <w:t>. Копии всех утвержденных стандартов и методических документов на</w:t>
      </w:r>
      <w:r w:rsidR="00A00CB6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sz w:val="28"/>
          <w:szCs w:val="28"/>
        </w:rPr>
        <w:t xml:space="preserve">бумажных и электронных носителях </w:t>
      </w:r>
      <w:r w:rsidR="00A00CB6" w:rsidRPr="007479F6">
        <w:rPr>
          <w:rFonts w:ascii="Times New Roman" w:hAnsi="Times New Roman" w:cs="Times New Roman"/>
          <w:sz w:val="28"/>
          <w:szCs w:val="28"/>
        </w:rPr>
        <w:t>формируются в фонд нормативных и методических документов Контрольно-счетной палаты</w:t>
      </w:r>
      <w:r w:rsidRPr="007479F6">
        <w:rPr>
          <w:rFonts w:ascii="Times New Roman" w:hAnsi="Times New Roman" w:cs="Times New Roman"/>
          <w:sz w:val="28"/>
          <w:szCs w:val="28"/>
        </w:rPr>
        <w:t>, а оригиналы –</w:t>
      </w:r>
      <w:r w:rsidR="00A00CB6" w:rsidRPr="007479F6">
        <w:rPr>
          <w:rFonts w:ascii="Times New Roman" w:hAnsi="Times New Roman" w:cs="Times New Roman"/>
          <w:sz w:val="28"/>
          <w:szCs w:val="28"/>
        </w:rPr>
        <w:t xml:space="preserve">передаются на </w:t>
      </w:r>
      <w:r w:rsidRPr="007479F6">
        <w:rPr>
          <w:rFonts w:ascii="Times New Roman" w:hAnsi="Times New Roman" w:cs="Times New Roman"/>
          <w:sz w:val="28"/>
          <w:szCs w:val="28"/>
        </w:rPr>
        <w:t>хранение в архив.</w:t>
      </w:r>
    </w:p>
    <w:p w:rsidR="00F61CC9" w:rsidRPr="007479F6" w:rsidRDefault="00F61CC9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CB6" w:rsidRPr="007479F6" w:rsidRDefault="00A00CB6" w:rsidP="00F61C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b/>
          <w:sz w:val="28"/>
          <w:szCs w:val="28"/>
        </w:rPr>
        <w:t xml:space="preserve">5. Внесение изменений в стандарты и методические </w:t>
      </w:r>
      <w:r w:rsidR="00F61CC9"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Pr="007479F6">
        <w:rPr>
          <w:rFonts w:ascii="Times New Roman" w:hAnsi="Times New Roman" w:cs="Times New Roman"/>
          <w:b/>
          <w:sz w:val="28"/>
          <w:szCs w:val="28"/>
        </w:rPr>
        <w:t>документы Контрольно-счетной палаты, признание их утратившими силу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5.1. Внесение изменений в стандарты и методические документы Контрольно-счетной палаты осуществляется в целях поддержания соответствия методологического обеспечения деятельности Контрольно-счетной палаты потребностям внешнего муниципального финансового контроля.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5.2. Внесение изменений в стандарт или методический документ Контрольно-счетной палаты осуществляется, если необходимо: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более точно регламентировать или детализировать процессы осуществления различных форм и видов деятельности Контрольно-счетной палаты;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привести документ в соответствие с действующим законодательством;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устранить дублирование или противоречия положений документа с новыми документами, утвержденными в Контрольно-счетной палате;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исключить ссылки на документы Контрольно-счетной палаты, которые признаны утратившими силу;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lastRenderedPageBreak/>
        <w:t>- исправить опечатки, ошибки или иные неточности, обнаруженные в стандарте или методическом документе Контрольно-счетной палаты после его утверждения;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в иных случаях.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5.3. Необходимость внесения изменений в стандарт или методический документ Контрольно-счетной палаты или признания его утратившим силу определяется по результатам проверок актуальности документа и мониторинга его применения, которые осуществляются должностными лицами Контрольно-счетной палаты.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В ходе проверки актуальности стандарта или методического документа Контрольно-счетной палаты определяется его соответствие действующему законодательству, а также документам Контрольно-счетной палаты, принятым после утверждения данного документа.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В ходе мониторинга применения стандарта или методического документа Контрольно-счетной палаты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5.4. Проверка актуальности стандарта или методического документа Контрольно-счетной палаты проводится по мере необходимости, связанной с изменением действующего законодательства, а также нормативных документов Контрольно-счетной палаты.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5.5. Стандарт или методический документ Контрольно-счетной палаты может быть признан утратившим силу в случаях, если: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документ не соответствует действующему законодательству;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взамен данного документа утвержден новый документ Контрольно- счетной палаты;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положения документа включены в другой утвержденный документ Контрольно-счетной палаты;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изменились отдельные формы или виды деятельности Контрольно- счетной палаты, регламентируемые данным документом;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истек срок действия документа;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- в иных обоснованных случаях.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5.6. Стандарт или методический документ Контрольно-счетной палаты подлежит признанию утратившим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структуры. В этом случае взамен действующего разрабатывается новый документ, в котором указывается, взамен какого документа он разработан.</w:t>
      </w:r>
    </w:p>
    <w:p w:rsidR="00A00CB6" w:rsidRPr="007479F6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5.7</w:t>
      </w:r>
      <w:r w:rsidR="00A00CB6" w:rsidRPr="007479F6">
        <w:rPr>
          <w:rFonts w:ascii="Times New Roman" w:hAnsi="Times New Roman" w:cs="Times New Roman"/>
          <w:sz w:val="28"/>
          <w:szCs w:val="28"/>
        </w:rPr>
        <w:t>. Решение о внесении изменений в стандарт или методический</w:t>
      </w:r>
      <w:r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7479F6">
        <w:rPr>
          <w:rFonts w:ascii="Times New Roman" w:hAnsi="Times New Roman" w:cs="Times New Roman"/>
          <w:sz w:val="28"/>
          <w:szCs w:val="28"/>
        </w:rPr>
        <w:t>документ Контрольно-счетной палаты или признании его утратившим силу</w:t>
      </w:r>
      <w:r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7479F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7479F6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="00A00CB6" w:rsidRPr="007479F6">
        <w:rPr>
          <w:rFonts w:ascii="Times New Roman" w:hAnsi="Times New Roman" w:cs="Times New Roman"/>
          <w:sz w:val="28"/>
          <w:szCs w:val="28"/>
        </w:rPr>
        <w:t>.</w:t>
      </w:r>
    </w:p>
    <w:p w:rsidR="00A00CB6" w:rsidRPr="007479F6" w:rsidRDefault="00930F43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="00A00CB6" w:rsidRPr="007479F6">
        <w:rPr>
          <w:rFonts w:ascii="Times New Roman" w:hAnsi="Times New Roman" w:cs="Times New Roman"/>
          <w:sz w:val="28"/>
          <w:szCs w:val="28"/>
        </w:rPr>
        <w:t>Изменения, внесенные в стандарт или методический документ</w:t>
      </w:r>
      <w:r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7479F6">
        <w:rPr>
          <w:rFonts w:ascii="Times New Roman" w:hAnsi="Times New Roman" w:cs="Times New Roman"/>
          <w:sz w:val="28"/>
          <w:szCs w:val="28"/>
        </w:rPr>
        <w:t>Контрольно-счетной палаты, вступают в силу, или документ признается</w:t>
      </w:r>
      <w:r w:rsidRPr="007479F6">
        <w:rPr>
          <w:rFonts w:ascii="Times New Roman" w:hAnsi="Times New Roman" w:cs="Times New Roman"/>
          <w:sz w:val="28"/>
          <w:szCs w:val="28"/>
        </w:rPr>
        <w:t xml:space="preserve"> </w:t>
      </w:r>
      <w:r w:rsidR="00A00CB6" w:rsidRPr="007479F6">
        <w:rPr>
          <w:rFonts w:ascii="Times New Roman" w:hAnsi="Times New Roman" w:cs="Times New Roman"/>
          <w:sz w:val="28"/>
          <w:szCs w:val="28"/>
        </w:rPr>
        <w:t>утратившим силу, с даты утверждения (принятия решения).</w:t>
      </w:r>
    </w:p>
    <w:p w:rsidR="00A00CB6" w:rsidRPr="007479F6" w:rsidRDefault="00A00CB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A8A" w:rsidRDefault="00302A8A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A8A" w:rsidRDefault="00302A8A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A8A" w:rsidRDefault="00302A8A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59E" w:rsidRPr="007479F6" w:rsidRDefault="00EB459E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F6" w:rsidRPr="007479F6" w:rsidRDefault="007479F6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B5" w:rsidRPr="007479F6" w:rsidRDefault="00DF75B5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352"/>
      </w:tblGrid>
      <w:tr w:rsidR="00023AF2" w:rsidRPr="007479F6" w:rsidTr="007479F6">
        <w:tc>
          <w:tcPr>
            <w:tcW w:w="4218" w:type="dxa"/>
          </w:tcPr>
          <w:p w:rsidR="00023AF2" w:rsidRPr="007479F6" w:rsidRDefault="00023AF2" w:rsidP="00A00CB6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023AF2" w:rsidRPr="007479F6" w:rsidRDefault="00023AF2" w:rsidP="00354FCD">
            <w:pPr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79F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3AF2" w:rsidRPr="007479F6" w:rsidRDefault="00023AF2" w:rsidP="00E66D7B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9F6">
              <w:rPr>
                <w:rFonts w:ascii="Times New Roman" w:hAnsi="Times New Roman" w:cs="Times New Roman"/>
                <w:sz w:val="28"/>
                <w:szCs w:val="28"/>
              </w:rPr>
              <w:t xml:space="preserve">к Стандарту организации деятельности «Порядок разработки, утверждения, актуализации стандартов внешнего муниципального контроля для проведения контрольных  </w:t>
            </w:r>
            <w:r w:rsidRPr="0074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экспертно-аналитических мероприятий, проводимых Контрольно</w:t>
            </w:r>
            <w:r w:rsidR="00E6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4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счетной палатой  городского округа Анадырь</w:t>
            </w:r>
          </w:p>
        </w:tc>
      </w:tr>
    </w:tbl>
    <w:p w:rsidR="00023AF2" w:rsidRPr="007479F6" w:rsidRDefault="00023AF2" w:rsidP="00A00CB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F6" w:rsidRDefault="00315DDF" w:rsidP="0010692F">
      <w:pPr>
        <w:shd w:val="clear" w:color="auto" w:fill="FFFFFF"/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Образец титульного листа</w:t>
      </w:r>
    </w:p>
    <w:p w:rsidR="0010692F" w:rsidRDefault="0010692F" w:rsidP="0010692F">
      <w:pPr>
        <w:shd w:val="clear" w:color="auto" w:fill="FFFFFF"/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79F6" w:rsidRPr="0010692F" w:rsidRDefault="007479F6" w:rsidP="0010692F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92F">
        <w:rPr>
          <w:rFonts w:ascii="Times New Roman" w:hAnsi="Times New Roman" w:cs="Times New Roman"/>
          <w:b/>
          <w:sz w:val="26"/>
          <w:szCs w:val="26"/>
        </w:rPr>
        <w:t>КОНТРОЛЬНО – СЧЕТНАЯ ПАЛАТА ГОРОДСКОГО ОКРУГА АНАДЫРЬ</w:t>
      </w:r>
    </w:p>
    <w:p w:rsidR="007479F6" w:rsidRDefault="007479F6" w:rsidP="007479F6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</w:t>
      </w:r>
    </w:p>
    <w:p w:rsidR="0010692F" w:rsidRDefault="0010692F" w:rsidP="007479F6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92F" w:rsidRDefault="0010692F" w:rsidP="007479F6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92F" w:rsidRDefault="0010692F" w:rsidP="007479F6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92F" w:rsidRPr="007479F6" w:rsidRDefault="0010692F" w:rsidP="007479F6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43" w:rsidRPr="007479F6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692F" w:rsidRPr="007479F6" w:rsidRDefault="0010692F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43" w:rsidRPr="007479F6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9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внешнего муниципального финансового контроля</w:t>
      </w:r>
    </w:p>
    <w:p w:rsidR="00930F43" w:rsidRPr="007479F6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9F6">
        <w:rPr>
          <w:rFonts w:ascii="Times New Roman" w:eastAsia="Times New Roman" w:hAnsi="Times New Roman" w:cs="Times New Roman"/>
          <w:color w:val="000000"/>
          <w:sz w:val="28"/>
          <w:szCs w:val="28"/>
        </w:rPr>
        <w:t>(Стандарт организации деятельности, методический документ)</w:t>
      </w:r>
    </w:p>
    <w:p w:rsidR="0010692F" w:rsidRDefault="0010692F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43" w:rsidRPr="007479F6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9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СТАНДАРТА</w:t>
      </w:r>
    </w:p>
    <w:p w:rsidR="00930F43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9F6">
        <w:rPr>
          <w:rFonts w:ascii="Times New Roman" w:eastAsia="Times New Roman" w:hAnsi="Times New Roman" w:cs="Times New Roman"/>
          <w:color w:val="000000"/>
          <w:sz w:val="28"/>
          <w:szCs w:val="28"/>
        </w:rPr>
        <w:t>(МЕТОДИЧЕСКОГО ДОКУМЕНТА)</w:t>
      </w:r>
    </w:p>
    <w:p w:rsidR="00930F43" w:rsidRPr="007479F6" w:rsidRDefault="00930F43" w:rsidP="009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F43" w:rsidRPr="007479F6" w:rsidRDefault="00930F43" w:rsidP="0010692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79F6">
        <w:rPr>
          <w:rFonts w:ascii="Times New Roman" w:hAnsi="Times New Roman"/>
          <w:i/>
          <w:sz w:val="28"/>
          <w:szCs w:val="28"/>
        </w:rPr>
        <w:t xml:space="preserve">(Утвержден распоряжением </w:t>
      </w:r>
      <w:r w:rsidR="00F61CC9" w:rsidRPr="007479F6">
        <w:rPr>
          <w:rFonts w:ascii="Times New Roman" w:hAnsi="Times New Roman"/>
          <w:i/>
          <w:sz w:val="28"/>
          <w:szCs w:val="28"/>
        </w:rPr>
        <w:t>Контрольно - счетной палаты городского округа Анадырь</w:t>
      </w:r>
      <w:r w:rsidRPr="007479F6">
        <w:rPr>
          <w:rFonts w:ascii="Times New Roman" w:hAnsi="Times New Roman"/>
          <w:i/>
          <w:sz w:val="28"/>
          <w:szCs w:val="28"/>
        </w:rPr>
        <w:t xml:space="preserve"> от _________ г.  № ____)</w:t>
      </w:r>
    </w:p>
    <w:p w:rsid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930F43" w:rsidRP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0692F">
        <w:rPr>
          <w:rFonts w:ascii="Times New Roman" w:hAnsi="Times New Roman"/>
          <w:sz w:val="28"/>
          <w:szCs w:val="28"/>
        </w:rPr>
        <w:t xml:space="preserve">начало действие с </w:t>
      </w:r>
    </w:p>
    <w:p w:rsidR="0010692F" w:rsidRP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0692F">
        <w:rPr>
          <w:rFonts w:ascii="Times New Roman" w:hAnsi="Times New Roman"/>
          <w:sz w:val="28"/>
          <w:szCs w:val="28"/>
        </w:rPr>
        <w:t>(ДАТА УТВЕРЖДЕНИЯ</w:t>
      </w:r>
    </w:p>
    <w:p w:rsidR="0010692F" w:rsidRPr="0010692F" w:rsidRDefault="0010692F" w:rsidP="0010692F">
      <w:pPr>
        <w:tabs>
          <w:tab w:val="left" w:pos="9356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10692F">
        <w:rPr>
          <w:rFonts w:ascii="Times New Roman" w:hAnsi="Times New Roman"/>
          <w:sz w:val="28"/>
          <w:szCs w:val="28"/>
        </w:rPr>
        <w:t xml:space="preserve"> СТАНДАРТА)_______20__года</w:t>
      </w:r>
    </w:p>
    <w:p w:rsidR="00930F43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692F" w:rsidRDefault="0010692F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692F" w:rsidRPr="007479F6" w:rsidRDefault="0010692F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0F43" w:rsidRPr="007479F6" w:rsidRDefault="00930F43" w:rsidP="00930F43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479F6">
        <w:rPr>
          <w:rFonts w:ascii="Times New Roman" w:hAnsi="Times New Roman"/>
          <w:sz w:val="28"/>
          <w:szCs w:val="28"/>
        </w:rPr>
        <w:t>г. Анадырь</w:t>
      </w:r>
    </w:p>
    <w:p w:rsidR="00363C0C" w:rsidRPr="007479F6" w:rsidRDefault="00930F43" w:rsidP="00023AF2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9F6">
        <w:rPr>
          <w:rFonts w:ascii="Times New Roman" w:hAnsi="Times New Roman"/>
          <w:sz w:val="28"/>
          <w:szCs w:val="28"/>
        </w:rPr>
        <w:t>20</w:t>
      </w:r>
      <w:r w:rsidR="00CE6BA0" w:rsidRPr="007479F6">
        <w:rPr>
          <w:rFonts w:ascii="Times New Roman" w:hAnsi="Times New Roman"/>
          <w:sz w:val="28"/>
          <w:szCs w:val="28"/>
        </w:rPr>
        <w:t>___</w:t>
      </w:r>
      <w:r w:rsidRPr="007479F6">
        <w:rPr>
          <w:rFonts w:ascii="Times New Roman" w:hAnsi="Times New Roman"/>
          <w:sz w:val="28"/>
          <w:szCs w:val="28"/>
        </w:rPr>
        <w:t>год</w:t>
      </w:r>
    </w:p>
    <w:sectPr w:rsidR="00363C0C" w:rsidRPr="007479F6" w:rsidSect="00DC39D9">
      <w:footerReference w:type="default" r:id="rId8"/>
      <w:footerReference w:type="firs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1A" w:rsidRDefault="006E621A" w:rsidP="00CA6739">
      <w:pPr>
        <w:spacing w:after="0" w:line="240" w:lineRule="auto"/>
      </w:pPr>
      <w:r>
        <w:separator/>
      </w:r>
    </w:p>
  </w:endnote>
  <w:endnote w:type="continuationSeparator" w:id="0">
    <w:p w:rsidR="006E621A" w:rsidRDefault="006E621A" w:rsidP="00C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6750"/>
      <w:docPartObj>
        <w:docPartGallery w:val="Page Numbers (Bottom of Page)"/>
        <w:docPartUnique/>
      </w:docPartObj>
    </w:sdtPr>
    <w:sdtEndPr/>
    <w:sdtContent>
      <w:p w:rsidR="00A00CB6" w:rsidRDefault="0063501C">
        <w:pPr>
          <w:pStyle w:val="a7"/>
          <w:jc w:val="center"/>
        </w:pPr>
        <w:r>
          <w:t xml:space="preserve"> </w:t>
        </w:r>
        <w:r w:rsidR="00CB6370">
          <w:fldChar w:fldCharType="begin"/>
        </w:r>
        <w:r w:rsidR="00D6716F">
          <w:instrText xml:space="preserve"> PAGE   \* MERGEFORMAT </w:instrText>
        </w:r>
        <w:r w:rsidR="00CB6370">
          <w:fldChar w:fldCharType="separate"/>
        </w:r>
        <w:r w:rsidR="00865567">
          <w:rPr>
            <w:noProof/>
          </w:rPr>
          <w:t>2</w:t>
        </w:r>
        <w:r w:rsidR="00CB6370">
          <w:rPr>
            <w:noProof/>
          </w:rPr>
          <w:fldChar w:fldCharType="end"/>
        </w:r>
      </w:p>
    </w:sdtContent>
  </w:sdt>
  <w:p w:rsidR="00A00CB6" w:rsidRDefault="00A00C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B6" w:rsidRDefault="00A00CB6">
    <w:pPr>
      <w:pStyle w:val="a7"/>
      <w:jc w:val="center"/>
    </w:pPr>
  </w:p>
  <w:p w:rsidR="00A00CB6" w:rsidRPr="00BC2D24" w:rsidRDefault="00A00CB6" w:rsidP="0014757E">
    <w:pPr>
      <w:spacing w:after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1A" w:rsidRDefault="006E621A" w:rsidP="00CA6739">
      <w:pPr>
        <w:spacing w:after="0" w:line="240" w:lineRule="auto"/>
      </w:pPr>
      <w:r>
        <w:separator/>
      </w:r>
    </w:p>
  </w:footnote>
  <w:footnote w:type="continuationSeparator" w:id="0">
    <w:p w:rsidR="006E621A" w:rsidRDefault="006E621A" w:rsidP="00C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B29A1"/>
    <w:multiLevelType w:val="hybridMultilevel"/>
    <w:tmpl w:val="8B30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DBE"/>
    <w:multiLevelType w:val="multilevel"/>
    <w:tmpl w:val="C9C635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804406F"/>
    <w:multiLevelType w:val="multilevel"/>
    <w:tmpl w:val="BFA84C1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E8E1DAB"/>
    <w:multiLevelType w:val="hybridMultilevel"/>
    <w:tmpl w:val="A3A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E37"/>
    <w:multiLevelType w:val="multilevel"/>
    <w:tmpl w:val="14BCE6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2CB795E"/>
    <w:multiLevelType w:val="multilevel"/>
    <w:tmpl w:val="1BDE8B6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7DD7246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CAC01D7"/>
    <w:multiLevelType w:val="hybridMultilevel"/>
    <w:tmpl w:val="A500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74595"/>
    <w:multiLevelType w:val="hybridMultilevel"/>
    <w:tmpl w:val="685289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CF96CCB"/>
    <w:multiLevelType w:val="hybridMultilevel"/>
    <w:tmpl w:val="E67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72E7E"/>
    <w:multiLevelType w:val="hybridMultilevel"/>
    <w:tmpl w:val="A38820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A607EDF"/>
    <w:multiLevelType w:val="multilevel"/>
    <w:tmpl w:val="047AF75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A5E"/>
    <w:rsid w:val="00023AF2"/>
    <w:rsid w:val="00032DBD"/>
    <w:rsid w:val="00034492"/>
    <w:rsid w:val="0003693A"/>
    <w:rsid w:val="00040A15"/>
    <w:rsid w:val="000657D4"/>
    <w:rsid w:val="00067B0B"/>
    <w:rsid w:val="000A101D"/>
    <w:rsid w:val="000A1A5E"/>
    <w:rsid w:val="000C6CE4"/>
    <w:rsid w:val="000C75C8"/>
    <w:rsid w:val="000D619F"/>
    <w:rsid w:val="000D6CD8"/>
    <w:rsid w:val="0010692F"/>
    <w:rsid w:val="001110CD"/>
    <w:rsid w:val="0012779C"/>
    <w:rsid w:val="001338E5"/>
    <w:rsid w:val="0014757E"/>
    <w:rsid w:val="001510A8"/>
    <w:rsid w:val="001649EE"/>
    <w:rsid w:val="001855CB"/>
    <w:rsid w:val="00194921"/>
    <w:rsid w:val="001F2222"/>
    <w:rsid w:val="00203E28"/>
    <w:rsid w:val="0021785C"/>
    <w:rsid w:val="002241D1"/>
    <w:rsid w:val="00242AF0"/>
    <w:rsid w:val="00254DB3"/>
    <w:rsid w:val="00270892"/>
    <w:rsid w:val="00285119"/>
    <w:rsid w:val="002A2818"/>
    <w:rsid w:val="002A68BD"/>
    <w:rsid w:val="002C600E"/>
    <w:rsid w:val="002F769A"/>
    <w:rsid w:val="00302A8A"/>
    <w:rsid w:val="00315DDF"/>
    <w:rsid w:val="00323CB6"/>
    <w:rsid w:val="00354FCD"/>
    <w:rsid w:val="00363C0C"/>
    <w:rsid w:val="0038010F"/>
    <w:rsid w:val="0038335D"/>
    <w:rsid w:val="003C68C9"/>
    <w:rsid w:val="003C6CD1"/>
    <w:rsid w:val="003C7598"/>
    <w:rsid w:val="003D4015"/>
    <w:rsid w:val="003F2516"/>
    <w:rsid w:val="003F605D"/>
    <w:rsid w:val="0040353F"/>
    <w:rsid w:val="0041029D"/>
    <w:rsid w:val="004227A6"/>
    <w:rsid w:val="00431821"/>
    <w:rsid w:val="00462E18"/>
    <w:rsid w:val="00463A64"/>
    <w:rsid w:val="00471435"/>
    <w:rsid w:val="00481794"/>
    <w:rsid w:val="004C066C"/>
    <w:rsid w:val="005073A3"/>
    <w:rsid w:val="0052058A"/>
    <w:rsid w:val="00532D91"/>
    <w:rsid w:val="00564217"/>
    <w:rsid w:val="00584A5E"/>
    <w:rsid w:val="005B397D"/>
    <w:rsid w:val="005C6598"/>
    <w:rsid w:val="005E32FA"/>
    <w:rsid w:val="005F3C43"/>
    <w:rsid w:val="006169C1"/>
    <w:rsid w:val="00621800"/>
    <w:rsid w:val="0063501C"/>
    <w:rsid w:val="00654177"/>
    <w:rsid w:val="006607AA"/>
    <w:rsid w:val="00674509"/>
    <w:rsid w:val="0068322C"/>
    <w:rsid w:val="00694078"/>
    <w:rsid w:val="006C7FCB"/>
    <w:rsid w:val="006D6222"/>
    <w:rsid w:val="006E621A"/>
    <w:rsid w:val="007113D7"/>
    <w:rsid w:val="00714F61"/>
    <w:rsid w:val="00727912"/>
    <w:rsid w:val="0073562E"/>
    <w:rsid w:val="007479F6"/>
    <w:rsid w:val="00780D84"/>
    <w:rsid w:val="00792570"/>
    <w:rsid w:val="007B78FE"/>
    <w:rsid w:val="007E2F88"/>
    <w:rsid w:val="008239A7"/>
    <w:rsid w:val="00827CE7"/>
    <w:rsid w:val="00844853"/>
    <w:rsid w:val="008465C7"/>
    <w:rsid w:val="00865567"/>
    <w:rsid w:val="008761D0"/>
    <w:rsid w:val="008874BB"/>
    <w:rsid w:val="00897369"/>
    <w:rsid w:val="008B67CA"/>
    <w:rsid w:val="00913E5F"/>
    <w:rsid w:val="00930F43"/>
    <w:rsid w:val="009641BC"/>
    <w:rsid w:val="00991A0D"/>
    <w:rsid w:val="009A3C46"/>
    <w:rsid w:val="009D15C2"/>
    <w:rsid w:val="009E0B18"/>
    <w:rsid w:val="009E4193"/>
    <w:rsid w:val="00A00CB6"/>
    <w:rsid w:val="00A17372"/>
    <w:rsid w:val="00A205D0"/>
    <w:rsid w:val="00A50463"/>
    <w:rsid w:val="00A958B4"/>
    <w:rsid w:val="00AA1AE8"/>
    <w:rsid w:val="00AB33E1"/>
    <w:rsid w:val="00AB7E7E"/>
    <w:rsid w:val="00AC39C6"/>
    <w:rsid w:val="00AF795F"/>
    <w:rsid w:val="00B04988"/>
    <w:rsid w:val="00B13BBF"/>
    <w:rsid w:val="00B26833"/>
    <w:rsid w:val="00B324DF"/>
    <w:rsid w:val="00B32A99"/>
    <w:rsid w:val="00B33A31"/>
    <w:rsid w:val="00B53794"/>
    <w:rsid w:val="00B6316F"/>
    <w:rsid w:val="00B94323"/>
    <w:rsid w:val="00BE5182"/>
    <w:rsid w:val="00C26E1C"/>
    <w:rsid w:val="00C47A17"/>
    <w:rsid w:val="00C71176"/>
    <w:rsid w:val="00C865C3"/>
    <w:rsid w:val="00C92A7E"/>
    <w:rsid w:val="00C9332C"/>
    <w:rsid w:val="00CA2703"/>
    <w:rsid w:val="00CA6739"/>
    <w:rsid w:val="00CB6370"/>
    <w:rsid w:val="00CB7856"/>
    <w:rsid w:val="00CD3CDB"/>
    <w:rsid w:val="00CD412C"/>
    <w:rsid w:val="00CE17ED"/>
    <w:rsid w:val="00CE6BA0"/>
    <w:rsid w:val="00CF7B9D"/>
    <w:rsid w:val="00D0017E"/>
    <w:rsid w:val="00D064F5"/>
    <w:rsid w:val="00D12866"/>
    <w:rsid w:val="00D13FDD"/>
    <w:rsid w:val="00D167E4"/>
    <w:rsid w:val="00D24621"/>
    <w:rsid w:val="00D26691"/>
    <w:rsid w:val="00D343F1"/>
    <w:rsid w:val="00D40AFE"/>
    <w:rsid w:val="00D627A2"/>
    <w:rsid w:val="00D6716F"/>
    <w:rsid w:val="00D71D99"/>
    <w:rsid w:val="00D92773"/>
    <w:rsid w:val="00DA4E67"/>
    <w:rsid w:val="00DB3A23"/>
    <w:rsid w:val="00DC39D9"/>
    <w:rsid w:val="00DE2AE2"/>
    <w:rsid w:val="00DE2AE4"/>
    <w:rsid w:val="00DE628C"/>
    <w:rsid w:val="00DF75B5"/>
    <w:rsid w:val="00DF75BA"/>
    <w:rsid w:val="00E47FD7"/>
    <w:rsid w:val="00E61D85"/>
    <w:rsid w:val="00E66D7B"/>
    <w:rsid w:val="00E97773"/>
    <w:rsid w:val="00EA3D0E"/>
    <w:rsid w:val="00EB459E"/>
    <w:rsid w:val="00EC6089"/>
    <w:rsid w:val="00ED57D2"/>
    <w:rsid w:val="00ED7A40"/>
    <w:rsid w:val="00F5002B"/>
    <w:rsid w:val="00F61CC9"/>
    <w:rsid w:val="00F70C92"/>
    <w:rsid w:val="00F83B0A"/>
    <w:rsid w:val="00F8432D"/>
    <w:rsid w:val="00F965AF"/>
    <w:rsid w:val="00FA3B0D"/>
    <w:rsid w:val="00FB3D82"/>
    <w:rsid w:val="00FC20F4"/>
    <w:rsid w:val="00FC5BC8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7C8CA"/>
  <w15:docId w15:val="{B1EF899B-0A65-4613-A964-C45C2AD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39"/>
  </w:style>
  <w:style w:type="paragraph" w:styleId="1">
    <w:name w:val="heading 1"/>
    <w:basedOn w:val="a"/>
    <w:next w:val="a"/>
    <w:link w:val="10"/>
    <w:uiPriority w:val="9"/>
    <w:qFormat/>
    <w:rsid w:val="00584A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584A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84A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4A5E"/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84A5E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4A5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A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E67"/>
  </w:style>
  <w:style w:type="table" w:styleId="a9">
    <w:name w:val="Table Grid"/>
    <w:basedOn w:val="a1"/>
    <w:uiPriority w:val="59"/>
    <w:rsid w:val="00D4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241D1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2241D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">
    <w:name w:val="Таблицы (моноширинный)"/>
    <w:basedOn w:val="a"/>
    <w:next w:val="a"/>
    <w:rsid w:val="00B33A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44A1-6D92-4216-8BA2-A81D7C43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Счетная палата Чукотского автономного округа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</dc:creator>
  <cp:keywords/>
  <dc:description/>
  <cp:lastModifiedBy>Наталья Червоняк</cp:lastModifiedBy>
  <cp:revision>30</cp:revision>
  <cp:lastPrinted>2022-03-11T06:57:00Z</cp:lastPrinted>
  <dcterms:created xsi:type="dcterms:W3CDTF">2022-03-11T06:52:00Z</dcterms:created>
  <dcterms:modified xsi:type="dcterms:W3CDTF">2024-01-22T03:33:00Z</dcterms:modified>
</cp:coreProperties>
</file>