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84" w:rsidRDefault="00862EA9" w:rsidP="00862EA9">
      <w:pPr>
        <w:jc w:val="center"/>
        <w:rPr>
          <w:b/>
        </w:rPr>
      </w:pPr>
      <w:r w:rsidRPr="00862EA9">
        <w:rPr>
          <w:b/>
        </w:rPr>
        <w:t>Результаты оценки эффективности налоговых расходов городского округа Анадырь за 2019 год</w:t>
      </w:r>
    </w:p>
    <w:p w:rsidR="00862EA9" w:rsidRDefault="00862EA9" w:rsidP="00862EA9">
      <w:pPr>
        <w:jc w:val="center"/>
        <w:rPr>
          <w:b/>
        </w:rPr>
      </w:pPr>
    </w:p>
    <w:p w:rsidR="00862EA9" w:rsidRDefault="00862EA9" w:rsidP="00EA07E1">
      <w:pPr>
        <w:spacing w:line="276" w:lineRule="auto"/>
        <w:jc w:val="center"/>
        <w:rPr>
          <w:b/>
        </w:rPr>
      </w:pPr>
    </w:p>
    <w:p w:rsidR="00862EA9" w:rsidRDefault="00862EA9" w:rsidP="00EA07E1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862EA9">
        <w:t>Оценка эффективности налоговых расходов городского округа Анадырь</w:t>
      </w:r>
      <w:r>
        <w:t xml:space="preserve"> за 2019 год проведена в соответствии с постановлением Администрации городского округа Анадырь от 28.12.2019 года №1140 «</w:t>
      </w:r>
      <w:r w:rsidRPr="001310A4">
        <w:rPr>
          <w:szCs w:val="28"/>
        </w:rPr>
        <w:t>Об утверждении Порядка формирования перечня налоговых расходов</w:t>
      </w:r>
      <w:r>
        <w:rPr>
          <w:szCs w:val="28"/>
        </w:rPr>
        <w:t xml:space="preserve">, правил формирования информации о нормативных, целевых и фискальных характеристиках налоговых расходов </w:t>
      </w:r>
      <w:r w:rsidRPr="001310A4">
        <w:rPr>
          <w:szCs w:val="28"/>
        </w:rPr>
        <w:t xml:space="preserve">и </w:t>
      </w:r>
      <w:r>
        <w:rPr>
          <w:szCs w:val="28"/>
        </w:rPr>
        <w:t xml:space="preserve">порядка </w:t>
      </w:r>
      <w:r w:rsidRPr="001310A4">
        <w:rPr>
          <w:szCs w:val="28"/>
        </w:rPr>
        <w:t>оценки эффективности налоговых рас</w:t>
      </w:r>
      <w:r>
        <w:rPr>
          <w:szCs w:val="28"/>
        </w:rPr>
        <w:t>ходов городского округа Анадырь».</w:t>
      </w:r>
    </w:p>
    <w:p w:rsidR="00862EA9" w:rsidRDefault="00862EA9" w:rsidP="00EA07E1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 июня 2019 года №796 «Об общих требованиях к оценке налоговых льгот (налоговых расходов) субъектов Российской Федерации и муниципальных образований».</w:t>
      </w:r>
    </w:p>
    <w:p w:rsidR="00862EA9" w:rsidRDefault="00862EA9" w:rsidP="00EA07E1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Целью проведения оценки эффективности налоговых расходов является выявление неэффективных налоговых расходов, разработка рекоменд</w:t>
      </w:r>
      <w:r w:rsidR="00C56384">
        <w:rPr>
          <w:szCs w:val="28"/>
        </w:rPr>
        <w:t>аций о сохранении или об отмене</w:t>
      </w:r>
      <w:r>
        <w:rPr>
          <w:szCs w:val="28"/>
        </w:rPr>
        <w:t xml:space="preserve"> налоговых расходов городского округа Анадырь.</w:t>
      </w:r>
    </w:p>
    <w:p w:rsidR="00862EA9" w:rsidRDefault="00862EA9" w:rsidP="00EA07E1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Исходные данные для проведения оценки доведены </w:t>
      </w:r>
      <w:r w:rsidR="00065FDA">
        <w:rPr>
          <w:szCs w:val="28"/>
        </w:rPr>
        <w:t>Управлени</w:t>
      </w:r>
      <w:r w:rsidR="00C56384">
        <w:rPr>
          <w:szCs w:val="28"/>
        </w:rPr>
        <w:t>ем Федеральной налоговой службы</w:t>
      </w:r>
      <w:r w:rsidR="00065FDA">
        <w:rPr>
          <w:szCs w:val="28"/>
        </w:rPr>
        <w:t xml:space="preserve"> по Чукотскому автономному округу</w:t>
      </w:r>
      <w:r w:rsidR="00A816AE">
        <w:rPr>
          <w:szCs w:val="28"/>
        </w:rPr>
        <w:t xml:space="preserve"> от 06.10.2020 № 02-02-0314/1769</w:t>
      </w:r>
      <w:r w:rsidR="00065FDA">
        <w:rPr>
          <w:szCs w:val="28"/>
        </w:rPr>
        <w:t xml:space="preserve">. </w:t>
      </w:r>
    </w:p>
    <w:p w:rsidR="00065FDA" w:rsidRDefault="00065FDA" w:rsidP="00EA07E1">
      <w:pPr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>В 2019 году на территории городского округа Анадырь действовал</w:t>
      </w:r>
      <w:r w:rsidR="00A816AE">
        <w:rPr>
          <w:szCs w:val="28"/>
        </w:rPr>
        <w:t>и</w:t>
      </w:r>
      <w:r>
        <w:rPr>
          <w:szCs w:val="28"/>
        </w:rPr>
        <w:t xml:space="preserve"> </w:t>
      </w:r>
      <w:r w:rsidR="00A816AE">
        <w:rPr>
          <w:szCs w:val="28"/>
        </w:rPr>
        <w:t>два</w:t>
      </w:r>
      <w:r>
        <w:rPr>
          <w:szCs w:val="28"/>
        </w:rPr>
        <w:t xml:space="preserve"> вид</w:t>
      </w:r>
      <w:r w:rsidR="00A816AE">
        <w:rPr>
          <w:szCs w:val="28"/>
        </w:rPr>
        <w:t>а</w:t>
      </w:r>
      <w:r w:rsidR="00540C66">
        <w:rPr>
          <w:szCs w:val="28"/>
        </w:rPr>
        <w:t xml:space="preserve"> налоговых льгот</w:t>
      </w:r>
      <w:r w:rsidR="00C56384">
        <w:rPr>
          <w:szCs w:val="28"/>
        </w:rPr>
        <w:t xml:space="preserve"> (налоговых расходов</w:t>
      </w:r>
      <w:r>
        <w:rPr>
          <w:szCs w:val="28"/>
        </w:rPr>
        <w:t>)</w:t>
      </w:r>
      <w:r w:rsidR="00A816AE">
        <w:rPr>
          <w:szCs w:val="28"/>
        </w:rPr>
        <w:t>, которые были</w:t>
      </w:r>
      <w:r>
        <w:rPr>
          <w:szCs w:val="28"/>
        </w:rPr>
        <w:t xml:space="preserve"> установлен</w:t>
      </w:r>
      <w:r w:rsidR="00A816AE">
        <w:rPr>
          <w:szCs w:val="28"/>
        </w:rPr>
        <w:t>ы</w:t>
      </w:r>
      <w:r>
        <w:rPr>
          <w:szCs w:val="28"/>
        </w:rPr>
        <w:t xml:space="preserve"> решением Совета депутатов городского округа Анадырь «Об </w:t>
      </w:r>
      <w:r w:rsidR="00C56384">
        <w:rPr>
          <w:szCs w:val="28"/>
        </w:rPr>
        <w:t>утверждении положения о</w:t>
      </w:r>
      <w:r>
        <w:rPr>
          <w:szCs w:val="28"/>
        </w:rPr>
        <w:t xml:space="preserve"> земельно</w:t>
      </w:r>
      <w:r w:rsidR="00C56384">
        <w:rPr>
          <w:szCs w:val="28"/>
        </w:rPr>
        <w:t>м</w:t>
      </w:r>
      <w:r>
        <w:rPr>
          <w:szCs w:val="28"/>
        </w:rPr>
        <w:t xml:space="preserve"> налог</w:t>
      </w:r>
      <w:r w:rsidR="00C56384">
        <w:rPr>
          <w:szCs w:val="28"/>
        </w:rPr>
        <w:t>е</w:t>
      </w:r>
      <w:r>
        <w:rPr>
          <w:szCs w:val="28"/>
        </w:rPr>
        <w:t xml:space="preserve"> на территории городского округа Анадырь» от 29 сентября 2014 года №9 (в ред. решени</w:t>
      </w:r>
      <w:r w:rsidR="008C0A19">
        <w:rPr>
          <w:szCs w:val="28"/>
        </w:rPr>
        <w:t>я от 19 декабря 2019 года № 28), а именно:</w:t>
      </w:r>
    </w:p>
    <w:p w:rsidR="008C0A19" w:rsidRDefault="00E017E0" w:rsidP="008C0A19">
      <w:pPr>
        <w:autoSpaceDE w:val="0"/>
        <w:autoSpaceDN w:val="0"/>
        <w:adjustRightInd w:val="0"/>
        <w:spacing w:line="276" w:lineRule="auto"/>
        <w:ind w:firstLine="708"/>
        <w:rPr>
          <w:bCs/>
          <w:szCs w:val="28"/>
        </w:rPr>
      </w:pPr>
      <w:r>
        <w:rPr>
          <w:szCs w:val="28"/>
        </w:rPr>
        <w:t xml:space="preserve">- </w:t>
      </w:r>
      <w:r w:rsidRPr="00E017E0">
        <w:rPr>
          <w:szCs w:val="28"/>
        </w:rPr>
        <w:t>о</w:t>
      </w:r>
      <w:r w:rsidRPr="00E017E0">
        <w:rPr>
          <w:bCs/>
          <w:szCs w:val="28"/>
        </w:rPr>
        <w:t>свобождение от уплаты земельного налога для граждан Российской Федерации, имеющих трех и более несовершеннолетних детей, совместно проживающих с ними, получивших в собственность бесплатно земельные участки в порядке и на условиях, определенных Законом Чукотского автономного округа от 10 октября 2011 года N 99-ОЗ "О бесплатном предоставлении в собственность гражданам, имеющим трех и более детей, земельных участков на территории Чукотского автономного округа";</w:t>
      </w:r>
    </w:p>
    <w:p w:rsidR="00E017E0" w:rsidRDefault="00E017E0" w:rsidP="008C0A19">
      <w:pPr>
        <w:autoSpaceDE w:val="0"/>
        <w:autoSpaceDN w:val="0"/>
        <w:adjustRightInd w:val="0"/>
        <w:spacing w:line="276" w:lineRule="auto"/>
        <w:ind w:firstLine="708"/>
        <w:rPr>
          <w:bCs/>
          <w:szCs w:val="28"/>
        </w:rPr>
      </w:pPr>
      <w:r>
        <w:rPr>
          <w:bCs/>
          <w:szCs w:val="28"/>
        </w:rPr>
        <w:t>- о</w:t>
      </w:r>
      <w:r w:rsidRPr="00E017E0">
        <w:rPr>
          <w:bCs/>
          <w:szCs w:val="28"/>
        </w:rPr>
        <w:t>свобождения от уплаты земельного налога на три налоговых периода для резидентов территории социально-экономического развития "Чукотка", начиная с налогового периода, в котором налогоплательщик включен в реестр резидентов территории опережающего социально-экономического развития.</w:t>
      </w:r>
    </w:p>
    <w:p w:rsidR="00C56384" w:rsidRPr="00A816AE" w:rsidRDefault="008C0A19" w:rsidP="00C56384">
      <w:pPr>
        <w:autoSpaceDE w:val="0"/>
        <w:autoSpaceDN w:val="0"/>
        <w:adjustRightInd w:val="0"/>
        <w:spacing w:line="276" w:lineRule="auto"/>
        <w:ind w:firstLine="708"/>
        <w:rPr>
          <w:bCs/>
          <w:szCs w:val="28"/>
        </w:rPr>
      </w:pPr>
      <w:r>
        <w:rPr>
          <w:bCs/>
          <w:szCs w:val="28"/>
        </w:rPr>
        <w:lastRenderedPageBreak/>
        <w:t>По информации предоставленной</w:t>
      </w:r>
      <w:r>
        <w:rPr>
          <w:bCs/>
          <w:szCs w:val="28"/>
        </w:rPr>
        <w:tab/>
        <w:t>Управлением</w:t>
      </w:r>
      <w:r w:rsidR="00C56384">
        <w:rPr>
          <w:bCs/>
          <w:szCs w:val="28"/>
        </w:rPr>
        <w:t xml:space="preserve"> Федеральной налоговой службы</w:t>
      </w:r>
      <w:r w:rsidRPr="008C0A19">
        <w:rPr>
          <w:bCs/>
          <w:szCs w:val="28"/>
        </w:rPr>
        <w:t xml:space="preserve"> по Чукотскому автономному округу </w:t>
      </w:r>
      <w:r>
        <w:rPr>
          <w:bCs/>
          <w:szCs w:val="28"/>
        </w:rPr>
        <w:t>в 2019 году налоговыми льготами</w:t>
      </w:r>
      <w:r w:rsidR="00E017E0">
        <w:rPr>
          <w:bCs/>
          <w:szCs w:val="28"/>
        </w:rPr>
        <w:t xml:space="preserve"> не воспользовались.</w:t>
      </w:r>
      <w:r w:rsidR="00505341">
        <w:rPr>
          <w:bCs/>
          <w:szCs w:val="28"/>
        </w:rPr>
        <w:t xml:space="preserve"> </w:t>
      </w:r>
      <w:r>
        <w:rPr>
          <w:bCs/>
          <w:szCs w:val="28"/>
        </w:rPr>
        <w:t xml:space="preserve">В связи с этим </w:t>
      </w:r>
      <w:r w:rsidR="00540C66" w:rsidRPr="00540C66">
        <w:rPr>
          <w:bCs/>
          <w:szCs w:val="28"/>
        </w:rPr>
        <w:t xml:space="preserve">выпадающие доходы </w:t>
      </w:r>
      <w:r w:rsidR="00E017E0">
        <w:rPr>
          <w:bCs/>
          <w:szCs w:val="28"/>
        </w:rPr>
        <w:t>бюджет</w:t>
      </w:r>
      <w:r w:rsidR="00540C66">
        <w:rPr>
          <w:bCs/>
          <w:szCs w:val="28"/>
        </w:rPr>
        <w:t>а</w:t>
      </w:r>
      <w:r w:rsidR="00E017E0">
        <w:rPr>
          <w:bCs/>
          <w:szCs w:val="28"/>
        </w:rPr>
        <w:t xml:space="preserve"> городского округа Анадырь за 2019 год составила 0,00 рублей.</w:t>
      </w:r>
    </w:p>
    <w:p w:rsidR="00E84E2F" w:rsidRDefault="00233519" w:rsidP="00E84E2F">
      <w:pPr>
        <w:autoSpaceDE w:val="0"/>
        <w:autoSpaceDN w:val="0"/>
        <w:adjustRightInd w:val="0"/>
        <w:spacing w:line="276" w:lineRule="auto"/>
        <w:ind w:firstLine="708"/>
        <w:rPr>
          <w:bCs/>
        </w:rPr>
      </w:pPr>
      <w:r>
        <w:rPr>
          <w:bCs/>
        </w:rPr>
        <w:t>Оценка результативности налогового расхода городского округа Анадырь</w:t>
      </w:r>
      <w:r w:rsidR="00E84E2F">
        <w:rPr>
          <w:bCs/>
        </w:rPr>
        <w:t xml:space="preserve"> включает оценку бюджетной эффективности налоговых расходов.</w:t>
      </w:r>
      <w:r>
        <w:rPr>
          <w:bCs/>
        </w:rPr>
        <w:t xml:space="preserve"> </w:t>
      </w:r>
      <w:r w:rsidR="00E84E2F">
        <w:rPr>
          <w:bCs/>
        </w:rPr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механизмов. Потенциально возможный альтернативный механизм - предоставление субсидий плательщикам, имеющим право на получение льготы за счет средств бюджета городского округа Анадырь. Предоставление субсидий не является более ре</w:t>
      </w:r>
      <w:r w:rsidR="00505341">
        <w:rPr>
          <w:bCs/>
        </w:rPr>
        <w:t>зультативным (менее затратным) для бюджета городского округа Анадырь, так как кроме субсидии равной сумме налоговой льготы из бюджета городского округа Анадырь были бы возмещены расходы организационно-административного характера (организация работы по предоставлению субсидии, администрирование, почтовые расходы и т.д.).</w:t>
      </w:r>
    </w:p>
    <w:p w:rsidR="006D61D8" w:rsidRDefault="006D61D8" w:rsidP="00EA07E1">
      <w:pPr>
        <w:autoSpaceDE w:val="0"/>
        <w:autoSpaceDN w:val="0"/>
        <w:adjustRightInd w:val="0"/>
        <w:spacing w:line="276" w:lineRule="auto"/>
        <w:rPr>
          <w:bCs/>
          <w:szCs w:val="28"/>
        </w:rPr>
      </w:pPr>
      <w:r>
        <w:rPr>
          <w:bCs/>
        </w:rPr>
        <w:t>Исходя из результатов проведенной оценки эффективности налогового расхода городского округа Анадырь,</w:t>
      </w:r>
      <w:r w:rsidR="00505341">
        <w:rPr>
          <w:bCs/>
        </w:rPr>
        <w:t xml:space="preserve"> не смотря на то, что </w:t>
      </w:r>
      <w:r w:rsidR="00233519">
        <w:rPr>
          <w:bCs/>
          <w:szCs w:val="28"/>
        </w:rPr>
        <w:t>в</w:t>
      </w:r>
      <w:r>
        <w:rPr>
          <w:bCs/>
          <w:szCs w:val="28"/>
        </w:rPr>
        <w:t xml:space="preserve"> 2019 году налогов</w:t>
      </w:r>
      <w:r w:rsidR="00233519">
        <w:rPr>
          <w:bCs/>
          <w:szCs w:val="28"/>
        </w:rPr>
        <w:t>ыми</w:t>
      </w:r>
      <w:r>
        <w:rPr>
          <w:bCs/>
          <w:szCs w:val="28"/>
        </w:rPr>
        <w:t xml:space="preserve"> льгот</w:t>
      </w:r>
      <w:r w:rsidR="00233519">
        <w:rPr>
          <w:bCs/>
          <w:szCs w:val="28"/>
        </w:rPr>
        <w:t>ами</w:t>
      </w:r>
      <w:r>
        <w:rPr>
          <w:bCs/>
          <w:szCs w:val="28"/>
        </w:rPr>
        <w:t xml:space="preserve"> не воспользовались, но принимая во внимание социальную значимость, а именно обеспечение социальной поддержки многодетных семей</w:t>
      </w:r>
      <w:r w:rsidR="00233519" w:rsidRPr="00FF0AE3">
        <w:rPr>
          <w:bCs/>
          <w:szCs w:val="28"/>
        </w:rPr>
        <w:t>,</w:t>
      </w:r>
      <w:r w:rsidR="00505341">
        <w:rPr>
          <w:bCs/>
          <w:szCs w:val="28"/>
        </w:rPr>
        <w:t xml:space="preserve"> а так же сохранение </w:t>
      </w:r>
      <w:r w:rsidR="00233519">
        <w:rPr>
          <w:bCs/>
          <w:szCs w:val="28"/>
        </w:rPr>
        <w:t>инвестиционной привлекательности</w:t>
      </w:r>
      <w:r w:rsidR="00233519" w:rsidRPr="00AB59B9">
        <w:rPr>
          <w:bCs/>
          <w:szCs w:val="28"/>
        </w:rPr>
        <w:t xml:space="preserve"> для резидентов территории социально-экономического развития "Чукотка"</w:t>
      </w:r>
      <w:r w:rsidR="00233519">
        <w:rPr>
          <w:bCs/>
          <w:szCs w:val="28"/>
        </w:rPr>
        <w:t xml:space="preserve"> , с</w:t>
      </w:r>
      <w:r w:rsidR="00505341">
        <w:rPr>
          <w:bCs/>
          <w:szCs w:val="28"/>
        </w:rPr>
        <w:t>читаем целесообразным существующие на территории городского округа Анадырь налоговые</w:t>
      </w:r>
      <w:r w:rsidR="00233519">
        <w:rPr>
          <w:bCs/>
          <w:szCs w:val="28"/>
        </w:rPr>
        <w:t xml:space="preserve"> льгот</w:t>
      </w:r>
      <w:r w:rsidR="00505341">
        <w:rPr>
          <w:bCs/>
          <w:szCs w:val="28"/>
        </w:rPr>
        <w:t>ы</w:t>
      </w:r>
      <w:r w:rsidR="00233519">
        <w:rPr>
          <w:bCs/>
          <w:szCs w:val="28"/>
        </w:rPr>
        <w:t xml:space="preserve"> сохранить</w:t>
      </w:r>
      <w:r w:rsidR="00505341">
        <w:rPr>
          <w:bCs/>
          <w:szCs w:val="28"/>
        </w:rPr>
        <w:t>.</w:t>
      </w:r>
    </w:p>
    <w:p w:rsidR="00505341" w:rsidRPr="006D61D8" w:rsidRDefault="00505341" w:rsidP="00EA07E1">
      <w:pPr>
        <w:autoSpaceDE w:val="0"/>
        <w:autoSpaceDN w:val="0"/>
        <w:adjustRightInd w:val="0"/>
        <w:spacing w:line="276" w:lineRule="auto"/>
        <w:rPr>
          <w:bCs/>
        </w:rPr>
      </w:pPr>
    </w:p>
    <w:p w:rsidR="006D61D8" w:rsidRPr="004C51B9" w:rsidRDefault="006D61D8" w:rsidP="00EA07E1">
      <w:pPr>
        <w:autoSpaceDE w:val="0"/>
        <w:autoSpaceDN w:val="0"/>
        <w:adjustRightInd w:val="0"/>
        <w:spacing w:line="276" w:lineRule="auto"/>
        <w:ind w:firstLine="708"/>
        <w:rPr>
          <w:bCs/>
          <w:szCs w:val="28"/>
        </w:rPr>
      </w:pPr>
    </w:p>
    <w:p w:rsidR="00065FDA" w:rsidRPr="00E017E0" w:rsidRDefault="00065FDA" w:rsidP="00EA07E1">
      <w:pPr>
        <w:autoSpaceDE w:val="0"/>
        <w:autoSpaceDN w:val="0"/>
        <w:adjustRightInd w:val="0"/>
        <w:spacing w:line="276" w:lineRule="auto"/>
        <w:rPr>
          <w:szCs w:val="28"/>
        </w:rPr>
      </w:pPr>
    </w:p>
    <w:p w:rsidR="00A17E3E" w:rsidRDefault="00505341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</w:t>
      </w:r>
      <w:r w:rsidR="00C56384">
        <w:rPr>
          <w:rFonts w:eastAsia="Times New Roman" w:cs="Times New Roman"/>
          <w:szCs w:val="28"/>
          <w:lang w:eastAsia="ru-RU"/>
        </w:rPr>
        <w:t xml:space="preserve"> финансов, </w:t>
      </w:r>
    </w:p>
    <w:p w:rsidR="00A17E3E" w:rsidRDefault="00A17E3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A17E3E">
        <w:rPr>
          <w:rFonts w:eastAsia="Times New Roman" w:cs="Times New Roman"/>
          <w:szCs w:val="28"/>
          <w:lang w:eastAsia="ru-RU"/>
        </w:rPr>
        <w:t xml:space="preserve">экономики и имущественных </w:t>
      </w:r>
    </w:p>
    <w:p w:rsidR="00A17E3E" w:rsidRDefault="00A17E3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A17E3E">
        <w:rPr>
          <w:rFonts w:eastAsia="Times New Roman" w:cs="Times New Roman"/>
          <w:szCs w:val="28"/>
          <w:lang w:eastAsia="ru-RU"/>
        </w:rPr>
        <w:t xml:space="preserve">отношений Администрации </w:t>
      </w:r>
    </w:p>
    <w:p w:rsidR="00505341" w:rsidRDefault="00A17E3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A17E3E">
        <w:rPr>
          <w:rFonts w:eastAsia="Times New Roman" w:cs="Times New Roman"/>
          <w:szCs w:val="28"/>
          <w:lang w:eastAsia="ru-RU"/>
        </w:rPr>
        <w:t>городского округа Анадырь</w:t>
      </w:r>
      <w:r w:rsidR="00505341">
        <w:rPr>
          <w:rFonts w:eastAsia="Times New Roman" w:cs="Times New Roman"/>
          <w:szCs w:val="28"/>
          <w:lang w:eastAsia="ru-RU"/>
        </w:rPr>
        <w:t xml:space="preserve">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505341" w:rsidRPr="00505341">
        <w:rPr>
          <w:rFonts w:eastAsia="Times New Roman" w:cs="Times New Roman"/>
          <w:szCs w:val="28"/>
          <w:lang w:eastAsia="ru-RU"/>
        </w:rPr>
        <w:t xml:space="preserve">Ю.И. </w:t>
      </w:r>
      <w:proofErr w:type="spellStart"/>
      <w:r w:rsidR="00505341" w:rsidRPr="00505341">
        <w:rPr>
          <w:rFonts w:eastAsia="Times New Roman" w:cs="Times New Roman"/>
          <w:szCs w:val="28"/>
          <w:lang w:eastAsia="ru-RU"/>
        </w:rPr>
        <w:t>Тюнягина</w:t>
      </w:r>
      <w:proofErr w:type="spellEnd"/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A8197E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  <w:sectPr w:rsidR="00A819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97E" w:rsidRPr="009D0589" w:rsidRDefault="00A8197E" w:rsidP="00A8197E">
      <w:pPr>
        <w:autoSpaceDE w:val="0"/>
        <w:autoSpaceDN w:val="0"/>
        <w:adjustRightInd w:val="0"/>
        <w:jc w:val="center"/>
        <w:rPr>
          <w:bCs/>
          <w:szCs w:val="28"/>
        </w:rPr>
      </w:pPr>
      <w:r w:rsidRPr="009D0589">
        <w:rPr>
          <w:bCs/>
          <w:szCs w:val="28"/>
        </w:rPr>
        <w:lastRenderedPageBreak/>
        <w:t>Результаты</w:t>
      </w:r>
    </w:p>
    <w:p w:rsidR="00A8197E" w:rsidRPr="009D0589" w:rsidRDefault="00A8197E" w:rsidP="00A8197E">
      <w:pPr>
        <w:autoSpaceDE w:val="0"/>
        <w:autoSpaceDN w:val="0"/>
        <w:adjustRightInd w:val="0"/>
        <w:jc w:val="center"/>
        <w:rPr>
          <w:bCs/>
          <w:szCs w:val="28"/>
        </w:rPr>
      </w:pPr>
      <w:r w:rsidRPr="009D0589">
        <w:rPr>
          <w:bCs/>
          <w:szCs w:val="28"/>
        </w:rPr>
        <w:t xml:space="preserve">оценки эффективности налоговых </w:t>
      </w:r>
      <w:r>
        <w:rPr>
          <w:bCs/>
          <w:szCs w:val="28"/>
        </w:rPr>
        <w:t>расходов</w:t>
      </w:r>
      <w:r w:rsidRPr="009D0589">
        <w:rPr>
          <w:bCs/>
          <w:szCs w:val="28"/>
        </w:rPr>
        <w:t xml:space="preserve"> на территории</w:t>
      </w:r>
    </w:p>
    <w:p w:rsidR="00A8197E" w:rsidRDefault="00A8197E" w:rsidP="00A8197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городского округа Анадырь за 2019 год</w:t>
      </w:r>
    </w:p>
    <w:p w:rsidR="00A8197E" w:rsidRDefault="00A8197E" w:rsidP="00A8197E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Style w:val="a5"/>
        <w:tblW w:w="14925" w:type="dxa"/>
        <w:tblLook w:val="04A0" w:firstRow="1" w:lastRow="0" w:firstColumn="1" w:lastColumn="0" w:noHBand="0" w:noVBand="1"/>
      </w:tblPr>
      <w:tblGrid>
        <w:gridCol w:w="629"/>
        <w:gridCol w:w="4186"/>
        <w:gridCol w:w="1526"/>
        <w:gridCol w:w="1658"/>
        <w:gridCol w:w="1658"/>
        <w:gridCol w:w="1658"/>
        <w:gridCol w:w="3610"/>
      </w:tblGrid>
      <w:tr w:rsidR="00A8197E" w:rsidRPr="00A8197E" w:rsidTr="00137F7D">
        <w:tc>
          <w:tcPr>
            <w:tcW w:w="629" w:type="dxa"/>
            <w:vMerge w:val="restart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4186" w:type="dxa"/>
            <w:vMerge w:val="restart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налогоплательщика - получателя налоговой льготы</w:t>
            </w:r>
          </w:p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(категория получателей налогового расхода)</w:t>
            </w:r>
          </w:p>
        </w:tc>
        <w:tc>
          <w:tcPr>
            <w:tcW w:w="1526" w:type="dxa"/>
            <w:vMerge w:val="restart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Сумма налоговых расходов,</w:t>
            </w:r>
          </w:p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  <w:tc>
          <w:tcPr>
            <w:tcW w:w="4974" w:type="dxa"/>
            <w:gridSpan w:val="3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эффективности налоговых льгот и пониженных налоговых ставок</w:t>
            </w:r>
          </w:p>
        </w:tc>
        <w:tc>
          <w:tcPr>
            <w:tcW w:w="3610" w:type="dxa"/>
            <w:vMerge w:val="restart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Выводы о значимости вклада налоговых расходов (льгот) в социально-экономическое развитие городского округа Анадырь</w:t>
            </w:r>
          </w:p>
        </w:tc>
      </w:tr>
      <w:tr w:rsidR="00A8197E" w:rsidRPr="00A8197E" w:rsidTr="00137F7D">
        <w:tc>
          <w:tcPr>
            <w:tcW w:w="629" w:type="dxa"/>
            <w:vMerge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86" w:type="dxa"/>
            <w:vMerge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Cs w:val="28"/>
              </w:rPr>
              <w:t>Коэффициент бюджетной эффективности</w:t>
            </w:r>
          </w:p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Cs w:val="28"/>
              </w:rPr>
              <w:t>(КБ)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Cs w:val="28"/>
              </w:rPr>
              <w:t>Коэффициент экономической эффективности</w:t>
            </w:r>
          </w:p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Cs w:val="28"/>
              </w:rPr>
              <w:t>(КЭ)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Cs w:val="28"/>
              </w:rPr>
              <w:t>Коэффициент социальной эффективности</w:t>
            </w:r>
          </w:p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Cs w:val="28"/>
              </w:rPr>
              <w:t>(КС)</w:t>
            </w:r>
          </w:p>
        </w:tc>
        <w:tc>
          <w:tcPr>
            <w:tcW w:w="3610" w:type="dxa"/>
            <w:vMerge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8197E" w:rsidRPr="00A8197E" w:rsidTr="00137F7D">
        <w:tc>
          <w:tcPr>
            <w:tcW w:w="14925" w:type="dxa"/>
            <w:gridSpan w:val="7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</w:tr>
      <w:tr w:rsidR="00A8197E" w:rsidRPr="00A8197E" w:rsidTr="00137F7D">
        <w:tc>
          <w:tcPr>
            <w:tcW w:w="629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86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Граждане Российской Федерации, имеющих трех и более несовершеннолетних детей и совместно проживающих с ними, получивших в собственность бесплатно земельные участки</w:t>
            </w:r>
            <w:r w:rsidRPr="00A8197E">
              <w:rPr>
                <w:rFonts w:ascii="Times New Roman" w:hAnsi="Times New Roman" w:cs="Times New Roman"/>
                <w:bCs/>
              </w:rPr>
              <w:t xml:space="preserve"> </w:t>
            </w: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и на условиях, определенных Законом Чукотского автономного округа от 10 октября 2011 года N 99-ОЗ "О бесплатном предоставлении в собственность гражданам, имеющим трех и более детей, земельных участков на территории Чукотского автономного округа"</w:t>
            </w:r>
          </w:p>
        </w:tc>
        <w:tc>
          <w:tcPr>
            <w:tcW w:w="1526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10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налоговой льготой не воспользовались, но принимая во внимание социальную значимость, а именно обеспечение социальной поддержки многодетных семей считаем целесообразным для данной категории налогоплательщиков налоговую льготу сохранить</w:t>
            </w:r>
          </w:p>
        </w:tc>
      </w:tr>
      <w:tr w:rsidR="00A8197E" w:rsidRPr="00A8197E" w:rsidTr="00137F7D">
        <w:tc>
          <w:tcPr>
            <w:tcW w:w="629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186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Юридические лица и индивидуальные предприниматели, получившие статус резидента территории социально-экономического развития "Чукотка".</w:t>
            </w:r>
          </w:p>
        </w:tc>
        <w:tc>
          <w:tcPr>
            <w:tcW w:w="1526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58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10" w:type="dxa"/>
          </w:tcPr>
          <w:p w:rsidR="00A8197E" w:rsidRPr="00A8197E" w:rsidRDefault="00A8197E" w:rsidP="00137F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197E">
              <w:rPr>
                <w:rFonts w:ascii="Times New Roman" w:hAnsi="Times New Roman" w:cs="Times New Roman"/>
                <w:bCs/>
                <w:sz w:val="28"/>
                <w:szCs w:val="28"/>
              </w:rPr>
              <w:t>В 2019 году налоговой льготой не воспользовались, но принимая во внимание стимулирующую функцию льготы в виде инвестиционной привлекательности для резидентов территории социально-экономического развития "Чукотка" , считаем целесообразным для данной категории налогоплательщиков налоговую льготу сохранить</w:t>
            </w:r>
          </w:p>
        </w:tc>
      </w:tr>
    </w:tbl>
    <w:p w:rsidR="00A8197E" w:rsidRDefault="00A8197E" w:rsidP="00A8197E">
      <w:pPr>
        <w:autoSpaceDE w:val="0"/>
        <w:autoSpaceDN w:val="0"/>
        <w:adjustRightInd w:val="0"/>
        <w:rPr>
          <w:bCs/>
          <w:szCs w:val="28"/>
        </w:rPr>
      </w:pPr>
    </w:p>
    <w:p w:rsidR="00A8197E" w:rsidRDefault="00A8197E" w:rsidP="00A8197E">
      <w:pPr>
        <w:autoSpaceDE w:val="0"/>
        <w:autoSpaceDN w:val="0"/>
        <w:adjustRightInd w:val="0"/>
        <w:rPr>
          <w:bCs/>
          <w:szCs w:val="28"/>
        </w:rPr>
      </w:pPr>
    </w:p>
    <w:p w:rsidR="00A8197E" w:rsidRDefault="00A8197E" w:rsidP="00A8197E">
      <w:pPr>
        <w:autoSpaceDE w:val="0"/>
        <w:autoSpaceDN w:val="0"/>
        <w:adjustRightInd w:val="0"/>
        <w:rPr>
          <w:bCs/>
          <w:szCs w:val="28"/>
        </w:rPr>
      </w:pPr>
    </w:p>
    <w:p w:rsidR="00A8197E" w:rsidRDefault="00A8197E" w:rsidP="00A8197E">
      <w:pPr>
        <w:autoSpaceDE w:val="0"/>
        <w:autoSpaceDN w:val="0"/>
        <w:adjustRightInd w:val="0"/>
        <w:rPr>
          <w:bCs/>
          <w:szCs w:val="28"/>
        </w:rPr>
      </w:pPr>
    </w:p>
    <w:p w:rsidR="00A8197E" w:rsidRDefault="00A8197E" w:rsidP="00A8197E">
      <w:pPr>
        <w:autoSpaceDE w:val="0"/>
        <w:autoSpaceDN w:val="0"/>
        <w:adjustRightInd w:val="0"/>
        <w:rPr>
          <w:bCs/>
          <w:szCs w:val="28"/>
        </w:rPr>
      </w:pPr>
    </w:p>
    <w:p w:rsidR="00A8197E" w:rsidRDefault="00A8197E" w:rsidP="00A8197E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>Начальник Управления финансов, экономики</w:t>
      </w:r>
    </w:p>
    <w:p w:rsidR="00A8197E" w:rsidRDefault="00A8197E" w:rsidP="00A8197E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 xml:space="preserve">и имущественных отношений </w:t>
      </w:r>
    </w:p>
    <w:p w:rsidR="00A8197E" w:rsidRDefault="00A8197E" w:rsidP="00A8197E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 xml:space="preserve">Администрации </w:t>
      </w:r>
      <w:r w:rsidRPr="006A5343">
        <w:rPr>
          <w:bCs/>
          <w:szCs w:val="28"/>
        </w:rPr>
        <w:t xml:space="preserve">городского округа Анадырь                                                       </w:t>
      </w:r>
      <w:r>
        <w:rPr>
          <w:bCs/>
          <w:szCs w:val="28"/>
        </w:rPr>
        <w:t xml:space="preserve">                                                 </w:t>
      </w:r>
      <w:r w:rsidRPr="006A5343">
        <w:rPr>
          <w:bCs/>
          <w:szCs w:val="28"/>
        </w:rPr>
        <w:t xml:space="preserve">   Ю.И. </w:t>
      </w:r>
      <w:proofErr w:type="spellStart"/>
      <w:r w:rsidRPr="006A5343">
        <w:rPr>
          <w:bCs/>
          <w:szCs w:val="28"/>
        </w:rPr>
        <w:t>Тюнягина</w:t>
      </w:r>
      <w:proofErr w:type="spellEnd"/>
    </w:p>
    <w:p w:rsidR="00A8197E" w:rsidRPr="00505341" w:rsidRDefault="00A8197E" w:rsidP="00A17E3E">
      <w:pPr>
        <w:tabs>
          <w:tab w:val="left" w:pos="7797"/>
        </w:tabs>
        <w:overflowPunct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862EA9" w:rsidRPr="00862EA9" w:rsidRDefault="00862EA9" w:rsidP="00EA07E1">
      <w:pPr>
        <w:spacing w:line="276" w:lineRule="auto"/>
      </w:pPr>
    </w:p>
    <w:sectPr w:rsidR="00862EA9" w:rsidRPr="00862EA9" w:rsidSect="00A819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34"/>
    <w:rsid w:val="00065FDA"/>
    <w:rsid w:val="00233519"/>
    <w:rsid w:val="00420634"/>
    <w:rsid w:val="004C51B9"/>
    <w:rsid w:val="00505341"/>
    <w:rsid w:val="00540C66"/>
    <w:rsid w:val="006D61D8"/>
    <w:rsid w:val="00862EA9"/>
    <w:rsid w:val="008C0A19"/>
    <w:rsid w:val="00A17E3E"/>
    <w:rsid w:val="00A816AE"/>
    <w:rsid w:val="00A8197E"/>
    <w:rsid w:val="00AC1584"/>
    <w:rsid w:val="00C56384"/>
    <w:rsid w:val="00E017E0"/>
    <w:rsid w:val="00E84E2F"/>
    <w:rsid w:val="00EA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FD40"/>
  <w15:chartTrackingRefBased/>
  <w15:docId w15:val="{7A3B5FF1-9C19-4E21-8D58-CD6FFF1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8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8197E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Шараева</dc:creator>
  <cp:keywords/>
  <dc:description/>
  <cp:lastModifiedBy>Татьяна Микитюк</cp:lastModifiedBy>
  <cp:revision>5</cp:revision>
  <cp:lastPrinted>2020-11-22T22:05:00Z</cp:lastPrinted>
  <dcterms:created xsi:type="dcterms:W3CDTF">2020-11-19T22:33:00Z</dcterms:created>
  <dcterms:modified xsi:type="dcterms:W3CDTF">2020-11-24T00:35:00Z</dcterms:modified>
</cp:coreProperties>
</file>