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41" w:rsidRPr="001C4E83" w:rsidRDefault="001C4E83" w:rsidP="001C4E83">
      <w:pPr>
        <w:jc w:val="center"/>
        <w:rPr>
          <w:b/>
        </w:rPr>
      </w:pPr>
      <w:r w:rsidRPr="001C4E83">
        <w:rPr>
          <w:b/>
        </w:rPr>
        <w:t>УВЕДОМЛЕНИЕ</w:t>
      </w:r>
    </w:p>
    <w:p w:rsidR="00FF6537" w:rsidRDefault="001C4E83" w:rsidP="00FF6537">
      <w:pPr>
        <w:pStyle w:val="aa"/>
        <w:jc w:val="center"/>
        <w:rPr>
          <w:b/>
          <w:szCs w:val="28"/>
          <w:lang w:eastAsia="en-US"/>
        </w:rPr>
      </w:pPr>
      <w:r w:rsidRPr="001C4E83">
        <w:rPr>
          <w:b/>
        </w:rPr>
        <w:t xml:space="preserve">о проведении общественного обсуждения </w:t>
      </w:r>
      <w:r w:rsidR="00234F4D">
        <w:rPr>
          <w:b/>
          <w:szCs w:val="28"/>
          <w:lang w:eastAsia="en-US"/>
        </w:rPr>
        <w:t xml:space="preserve">проекта </w:t>
      </w:r>
    </w:p>
    <w:p w:rsidR="00F2779C" w:rsidRDefault="00FF6537" w:rsidP="00FF6537">
      <w:pPr>
        <w:pStyle w:val="aa"/>
        <w:jc w:val="center"/>
        <w:rPr>
          <w:b/>
          <w:szCs w:val="28"/>
        </w:rPr>
      </w:pPr>
      <w:r>
        <w:rPr>
          <w:b/>
          <w:szCs w:val="28"/>
        </w:rPr>
        <w:t>Р</w:t>
      </w:r>
      <w:r w:rsidR="00F2779C">
        <w:rPr>
          <w:b/>
          <w:szCs w:val="28"/>
        </w:rPr>
        <w:t>УКОВОДСТВО</w:t>
      </w:r>
      <w:r w:rsidRPr="00BA4572">
        <w:rPr>
          <w:b/>
          <w:szCs w:val="28"/>
        </w:rPr>
        <w:t xml:space="preserve"> </w:t>
      </w:r>
    </w:p>
    <w:p w:rsidR="00FF6537" w:rsidRPr="00BA4572" w:rsidRDefault="00FF6537" w:rsidP="00FF6537">
      <w:pPr>
        <w:pStyle w:val="aa"/>
        <w:jc w:val="center"/>
        <w:rPr>
          <w:b/>
        </w:rPr>
      </w:pPr>
      <w:r w:rsidRPr="00BA4572">
        <w:rPr>
          <w:b/>
          <w:szCs w:val="28"/>
        </w:rPr>
        <w:t xml:space="preserve">по соблюдению обязательных требований, оценка соблюдения которых является предметом муниципального жилищного контроля в городском округе Анадырь </w:t>
      </w:r>
    </w:p>
    <w:p w:rsidR="001C4E83" w:rsidRDefault="001C4E83" w:rsidP="00FF6537">
      <w:pPr>
        <w:autoSpaceDE w:val="0"/>
        <w:autoSpaceDN w:val="0"/>
        <w:adjustRightInd w:val="0"/>
        <w:jc w:val="center"/>
        <w:rPr>
          <w:szCs w:val="28"/>
          <w:lang w:eastAsia="en-US"/>
        </w:rPr>
      </w:pPr>
    </w:p>
    <w:tbl>
      <w:tblPr>
        <w:tblStyle w:val="af3"/>
        <w:tblW w:w="9351" w:type="dxa"/>
        <w:tblLook w:val="04A0" w:firstRow="1" w:lastRow="0" w:firstColumn="1" w:lastColumn="0" w:noHBand="0" w:noVBand="1"/>
      </w:tblPr>
      <w:tblGrid>
        <w:gridCol w:w="562"/>
        <w:gridCol w:w="3402"/>
        <w:gridCol w:w="5387"/>
      </w:tblGrid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</w:tc>
        <w:tc>
          <w:tcPr>
            <w:tcW w:w="340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</w:t>
            </w:r>
          </w:p>
        </w:tc>
        <w:tc>
          <w:tcPr>
            <w:tcW w:w="5387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вид документа страт</w:t>
            </w:r>
            <w:r>
              <w:rPr>
                <w:szCs w:val="28"/>
                <w:lang w:eastAsia="en-US"/>
              </w:rPr>
              <w:t>егического планирования</w:t>
            </w:r>
          </w:p>
        </w:tc>
        <w:tc>
          <w:tcPr>
            <w:tcW w:w="5387" w:type="dxa"/>
          </w:tcPr>
          <w:p w:rsidR="001C4E83" w:rsidRPr="00E66E70" w:rsidRDefault="001C4E83" w:rsidP="00A57A99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E66E70">
              <w:rPr>
                <w:szCs w:val="28"/>
                <w:lang w:eastAsia="en-US"/>
              </w:rPr>
              <w:t xml:space="preserve">проект </w:t>
            </w:r>
            <w:r w:rsidR="00FF6537" w:rsidRPr="00FF6537">
              <w:rPr>
                <w:szCs w:val="28"/>
                <w:lang w:eastAsia="en-US"/>
              </w:rPr>
              <w:t>Руководство по соблюдению обязательных требований, оценка соблюдения которых является предметом муниципального жилищного контроля в городском округе Анадырь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наименование документа стратегического планирования;</w:t>
            </w:r>
          </w:p>
        </w:tc>
        <w:tc>
          <w:tcPr>
            <w:tcW w:w="5387" w:type="dxa"/>
          </w:tcPr>
          <w:p w:rsidR="001C4E83" w:rsidRDefault="00FF6537" w:rsidP="00A57A99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FF6537">
              <w:rPr>
                <w:szCs w:val="28"/>
                <w:lang w:eastAsia="en-US"/>
              </w:rPr>
              <w:t>Руководство по соблюдению обязательных требований, оценка соблюдения которых является предметом муниципального жилищного контроля в городском округе Анадырь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наименование Разработчика проекта;</w:t>
            </w:r>
          </w:p>
        </w:tc>
        <w:tc>
          <w:tcPr>
            <w:tcW w:w="5387" w:type="dxa"/>
          </w:tcPr>
          <w:p w:rsidR="001C4E83" w:rsidRDefault="00701CF2" w:rsidP="00E62BB1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701CF2">
              <w:t xml:space="preserve">Отдел </w:t>
            </w:r>
            <w:r w:rsidR="00E62BB1">
              <w:t>муниципального контроля и анализа городского округа Анадырь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цель подготовки проекта документа стратегического планирования;</w:t>
            </w:r>
          </w:p>
        </w:tc>
        <w:tc>
          <w:tcPr>
            <w:tcW w:w="5387" w:type="dxa"/>
          </w:tcPr>
          <w:p w:rsidR="001C4E83" w:rsidRDefault="00FF6537" w:rsidP="00E66E70">
            <w:pPr>
              <w:rPr>
                <w:szCs w:val="28"/>
                <w:lang w:eastAsia="en-US"/>
              </w:rPr>
            </w:pPr>
            <w:r w:rsidRPr="00FF6537">
              <w:rPr>
                <w:szCs w:val="28"/>
              </w:rPr>
              <w:t>Настоящее Руководство разработано в целях оказания юридическим лицам, индивидуальным предпринимателям, в том числе относящимся к субъектам малого и среднего предпринимательства, гражданам информационно-методической поддержки в вопросах соблюдения обязательных требований, контроль за соблюдением которых осуществляет Администрация городского округа Анадырь при осуществлении муниципального жилищного контроля в городском округе Анадырь.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срок проведения общественного обсуждения, в течение которого Разработчиком проекта принимаются замечания и предложения по проекту документа стратегического планирования, а также информация о способах направления замечаний и предложений;</w:t>
            </w:r>
          </w:p>
        </w:tc>
        <w:tc>
          <w:tcPr>
            <w:tcW w:w="5387" w:type="dxa"/>
          </w:tcPr>
          <w:p w:rsidR="001C4E83" w:rsidRDefault="00F2779C" w:rsidP="00FF6537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="001C4E83">
              <w:rPr>
                <w:szCs w:val="28"/>
                <w:lang w:eastAsia="en-US"/>
              </w:rPr>
              <w:t xml:space="preserve"> </w:t>
            </w:r>
            <w:r w:rsidR="00E66E70">
              <w:rPr>
                <w:szCs w:val="28"/>
                <w:lang w:eastAsia="en-US"/>
              </w:rPr>
              <w:t>1</w:t>
            </w:r>
            <w:r w:rsidR="001C4E83">
              <w:rPr>
                <w:szCs w:val="28"/>
                <w:lang w:eastAsia="en-US"/>
              </w:rPr>
              <w:t xml:space="preserve"> </w:t>
            </w:r>
            <w:r w:rsidR="00FF6537">
              <w:rPr>
                <w:szCs w:val="28"/>
                <w:lang w:eastAsia="en-US"/>
              </w:rPr>
              <w:t>сентября</w:t>
            </w:r>
            <w:r w:rsidR="00A57A99">
              <w:rPr>
                <w:szCs w:val="28"/>
                <w:lang w:eastAsia="en-US"/>
              </w:rPr>
              <w:t xml:space="preserve"> </w:t>
            </w:r>
            <w:r w:rsidR="001C4E83">
              <w:rPr>
                <w:szCs w:val="28"/>
                <w:lang w:eastAsia="en-US"/>
              </w:rPr>
              <w:t xml:space="preserve">по </w:t>
            </w:r>
            <w:r w:rsidR="00FF6537">
              <w:rPr>
                <w:szCs w:val="28"/>
                <w:lang w:eastAsia="en-US"/>
              </w:rPr>
              <w:t>30</w:t>
            </w:r>
            <w:r w:rsidR="001C4E83">
              <w:rPr>
                <w:szCs w:val="28"/>
                <w:lang w:eastAsia="en-US"/>
              </w:rPr>
              <w:t xml:space="preserve"> </w:t>
            </w:r>
            <w:r w:rsidR="00FF6537">
              <w:rPr>
                <w:szCs w:val="28"/>
                <w:lang w:eastAsia="en-US"/>
              </w:rPr>
              <w:t>сентя</w:t>
            </w:r>
            <w:r w:rsidR="00E66E70">
              <w:rPr>
                <w:szCs w:val="28"/>
                <w:lang w:eastAsia="en-US"/>
              </w:rPr>
              <w:t>бря</w:t>
            </w:r>
            <w:r w:rsidR="001C4E83">
              <w:rPr>
                <w:szCs w:val="28"/>
                <w:lang w:eastAsia="en-US"/>
              </w:rPr>
              <w:t xml:space="preserve"> 202</w:t>
            </w:r>
            <w:r w:rsidR="00A57A99">
              <w:rPr>
                <w:szCs w:val="28"/>
                <w:lang w:eastAsia="en-US"/>
              </w:rPr>
              <w:t>2</w:t>
            </w:r>
            <w:r w:rsidR="001C4E83">
              <w:rPr>
                <w:szCs w:val="28"/>
                <w:lang w:eastAsia="en-US"/>
              </w:rPr>
              <w:t xml:space="preserve"> года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телефон и адрес электронной почты контактного лица по вопросам подачи замечаний и предложений;</w:t>
            </w:r>
          </w:p>
        </w:tc>
        <w:tc>
          <w:tcPr>
            <w:tcW w:w="5387" w:type="dxa"/>
          </w:tcPr>
          <w:p w:rsidR="002258A8" w:rsidRPr="00694B5A" w:rsidRDefault="00E62BB1" w:rsidP="002258A8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Соколов Олег Ильич</w:t>
            </w:r>
          </w:p>
          <w:p w:rsidR="002258A8" w:rsidRPr="00694B5A" w:rsidRDefault="002258A8" w:rsidP="002258A8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694B5A">
              <w:rPr>
                <w:szCs w:val="28"/>
                <w:lang w:eastAsia="en-US"/>
              </w:rPr>
              <w:t xml:space="preserve">Отдел </w:t>
            </w:r>
            <w:r w:rsidR="00E62BB1">
              <w:rPr>
                <w:szCs w:val="28"/>
                <w:lang w:eastAsia="en-US"/>
              </w:rPr>
              <w:t>муниципального контроля и анализа</w:t>
            </w:r>
            <w:r w:rsidRPr="00694B5A">
              <w:rPr>
                <w:szCs w:val="28"/>
                <w:lang w:eastAsia="en-US"/>
              </w:rPr>
              <w:t xml:space="preserve"> Администрации городского округа Анадырь тел: 8(42722) 6362</w:t>
            </w:r>
            <w:r w:rsidR="00E62BB1">
              <w:rPr>
                <w:szCs w:val="28"/>
                <w:lang w:eastAsia="en-US"/>
              </w:rPr>
              <w:t>4</w:t>
            </w:r>
            <w:r w:rsidRPr="00694B5A">
              <w:rPr>
                <w:szCs w:val="28"/>
                <w:lang w:eastAsia="en-US"/>
              </w:rPr>
              <w:t xml:space="preserve"> </w:t>
            </w:r>
          </w:p>
          <w:p w:rsidR="001C4E83" w:rsidRDefault="00E62BB1" w:rsidP="002258A8">
            <w:pPr>
              <w:rPr>
                <w:szCs w:val="28"/>
                <w:lang w:eastAsia="en-US"/>
              </w:rPr>
            </w:pPr>
            <w:r>
              <w:rPr>
                <w:rStyle w:val="username"/>
              </w:rPr>
              <w:t>o.sokolov@adm87.ru</w:t>
            </w:r>
          </w:p>
        </w:tc>
      </w:tr>
      <w:tr w:rsidR="001C4E83" w:rsidTr="001C4E83">
        <w:tc>
          <w:tcPr>
            <w:tcW w:w="562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3402" w:type="dxa"/>
          </w:tcPr>
          <w:p w:rsidR="001C4E83" w:rsidRPr="008E51A2" w:rsidRDefault="001C4E83" w:rsidP="001C4E83">
            <w:pPr>
              <w:autoSpaceDE w:val="0"/>
              <w:autoSpaceDN w:val="0"/>
              <w:adjustRightInd w:val="0"/>
              <w:jc w:val="left"/>
              <w:rPr>
                <w:szCs w:val="28"/>
                <w:lang w:eastAsia="en-US"/>
              </w:rPr>
            </w:pPr>
            <w:r w:rsidRPr="008E51A2">
              <w:rPr>
                <w:szCs w:val="28"/>
                <w:lang w:eastAsia="en-US"/>
              </w:rPr>
              <w:t>дополнительная информация, относящаяся к сведениям о подготовке проекта документа стратегического планирования (по решению Разработчика проекта).</w:t>
            </w:r>
          </w:p>
        </w:tc>
        <w:tc>
          <w:tcPr>
            <w:tcW w:w="5387" w:type="dxa"/>
          </w:tcPr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Замечания и предложения к проекту </w:t>
            </w:r>
            <w:r w:rsidR="00FF6537" w:rsidRPr="00FF6537">
              <w:rPr>
                <w:szCs w:val="28"/>
                <w:lang w:eastAsia="en-US"/>
              </w:rPr>
              <w:t xml:space="preserve">Руководство по соблюдению обязательных требований, оценка соблюдения которых является предметом муниципального жилищного контроля в городском округе Анадырь </w:t>
            </w:r>
            <w:r w:rsidR="00217D43">
              <w:rPr>
                <w:szCs w:val="28"/>
                <w:lang w:eastAsia="en-US"/>
              </w:rPr>
              <w:t>направляются</w:t>
            </w:r>
            <w:r>
              <w:rPr>
                <w:szCs w:val="28"/>
                <w:lang w:eastAsia="en-US"/>
              </w:rPr>
              <w:t xml:space="preserve"> в срок и способами, указанными в Уведомлении и содержат:</w:t>
            </w:r>
          </w:p>
          <w:p w:rsidR="001C4E83" w:rsidRDefault="001C4E83" w:rsidP="001C4E83">
            <w:pPr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информацию об участнике общественного обсуждения: наименование организации (для юридических лиц), Ф.И.О. (для физических лиц), сферу деятельности (для юридических лиц и индивидуальных предпринимателей), Ф.И.О. контактного лица, номер контактного телефона, адрес электронной почты;</w:t>
            </w:r>
          </w:p>
          <w:p w:rsidR="001C4E83" w:rsidRDefault="001C4E83" w:rsidP="001C4E83">
            <w:pPr>
              <w:autoSpaceDE w:val="0"/>
              <w:autoSpaceDN w:val="0"/>
              <w:adjustRightInd w:val="0"/>
              <w:spacing w:before="280"/>
              <w:ind w:firstLine="54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суть замечания, предложения по проекту документа стратегического планирования.</w:t>
            </w:r>
          </w:p>
          <w:p w:rsidR="001C4E83" w:rsidRDefault="001C4E83" w:rsidP="001C4E83">
            <w:pPr>
              <w:autoSpaceDE w:val="0"/>
              <w:autoSpaceDN w:val="0"/>
              <w:adjustRightInd w:val="0"/>
              <w:spacing w:before="280"/>
              <w:ind w:firstLine="54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Замечания и предложения должны быть оформлены в формате .</w:t>
            </w:r>
            <w:proofErr w:type="spellStart"/>
            <w:r>
              <w:rPr>
                <w:szCs w:val="28"/>
                <w:lang w:eastAsia="en-US"/>
              </w:rPr>
              <w:t>doc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docx</w:t>
            </w:r>
            <w:proofErr w:type="spellEnd"/>
            <w:r>
              <w:rPr>
                <w:szCs w:val="28"/>
                <w:lang w:eastAsia="en-US"/>
              </w:rPr>
              <w:t>/.</w:t>
            </w:r>
            <w:proofErr w:type="spellStart"/>
            <w:r>
              <w:rPr>
                <w:szCs w:val="28"/>
                <w:lang w:eastAsia="en-US"/>
              </w:rPr>
              <w:t>rtf</w:t>
            </w:r>
            <w:proofErr w:type="spellEnd"/>
            <w:r>
              <w:rPr>
                <w:szCs w:val="28"/>
                <w:lang w:eastAsia="en-US"/>
              </w:rPr>
              <w:t>/.pdf/.</w:t>
            </w:r>
            <w:proofErr w:type="spellStart"/>
            <w:r>
              <w:rPr>
                <w:szCs w:val="28"/>
                <w:lang w:eastAsia="en-US"/>
              </w:rPr>
              <w:t>tif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</w:tbl>
    <w:p w:rsidR="001C4E83" w:rsidRDefault="001C4E83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Default="00FF6537" w:rsidP="00FF6537">
      <w:pPr>
        <w:autoSpaceDE w:val="0"/>
        <w:autoSpaceDN w:val="0"/>
        <w:adjustRightInd w:val="0"/>
        <w:jc w:val="right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ПРОЕКТ</w:t>
      </w:r>
    </w:p>
    <w:p w:rsidR="00FF6537" w:rsidRDefault="00FF6537" w:rsidP="00FF6537">
      <w:pPr>
        <w:autoSpaceDE w:val="0"/>
        <w:autoSpaceDN w:val="0"/>
        <w:adjustRightInd w:val="0"/>
        <w:jc w:val="right"/>
        <w:rPr>
          <w:szCs w:val="28"/>
          <w:lang w:eastAsia="en-US"/>
        </w:rPr>
      </w:pPr>
    </w:p>
    <w:p w:rsidR="00FF6537" w:rsidRDefault="00FF6537" w:rsidP="00FF6537">
      <w:pPr>
        <w:ind w:left="720"/>
        <w:contextualSpacing/>
        <w:jc w:val="center"/>
        <w:rPr>
          <w:rFonts w:eastAsia="Arial Unicode MS"/>
          <w:b/>
          <w:szCs w:val="28"/>
        </w:rPr>
      </w:pPr>
      <w:r w:rsidRPr="00FF6537">
        <w:rPr>
          <w:rFonts w:eastAsia="Arial Unicode MS"/>
          <w:b/>
          <w:szCs w:val="28"/>
        </w:rPr>
        <w:t>Р</w:t>
      </w:r>
      <w:r w:rsidR="00F2779C">
        <w:rPr>
          <w:rFonts w:eastAsia="Arial Unicode MS"/>
          <w:b/>
          <w:szCs w:val="28"/>
        </w:rPr>
        <w:t>УКОВОДСТВО</w:t>
      </w:r>
      <w:r w:rsidRPr="00FF6537">
        <w:rPr>
          <w:rFonts w:eastAsia="Arial Unicode MS"/>
          <w:b/>
          <w:szCs w:val="28"/>
        </w:rPr>
        <w:t xml:space="preserve"> </w:t>
      </w:r>
    </w:p>
    <w:p w:rsidR="00FF6537" w:rsidRPr="00FF6537" w:rsidRDefault="00FF6537" w:rsidP="00FF6537">
      <w:pPr>
        <w:ind w:left="720"/>
        <w:contextualSpacing/>
        <w:jc w:val="center"/>
        <w:rPr>
          <w:rFonts w:eastAsia="Arial Unicode MS"/>
          <w:b/>
          <w:sz w:val="24"/>
        </w:rPr>
      </w:pPr>
      <w:r w:rsidRPr="00FF6537">
        <w:rPr>
          <w:rFonts w:eastAsia="Arial Unicode MS"/>
          <w:b/>
          <w:szCs w:val="28"/>
        </w:rPr>
        <w:t xml:space="preserve">по соблюдению обязательных требований, оценка соблюдения которых является предметом муниципального жилищного контроля в городском округе Анадырь </w:t>
      </w:r>
    </w:p>
    <w:p w:rsidR="00FF6537" w:rsidRPr="00FF6537" w:rsidRDefault="00FF6537" w:rsidP="00FF6537">
      <w:pPr>
        <w:ind w:left="720"/>
        <w:contextualSpacing/>
        <w:jc w:val="center"/>
        <w:rPr>
          <w:rFonts w:eastAsia="Arial Unicode MS"/>
          <w:sz w:val="24"/>
        </w:rPr>
      </w:pPr>
    </w:p>
    <w:p w:rsidR="00FF6537" w:rsidRPr="00FF6537" w:rsidRDefault="00FF6537" w:rsidP="00FF6537">
      <w:pPr>
        <w:ind w:left="720"/>
        <w:contextualSpacing/>
        <w:jc w:val="center"/>
        <w:rPr>
          <w:b/>
          <w:szCs w:val="28"/>
        </w:rPr>
      </w:pPr>
      <w:r w:rsidRPr="00FF6537">
        <w:rPr>
          <w:rFonts w:eastAsia="Arial Unicode MS"/>
          <w:b/>
          <w:szCs w:val="28"/>
        </w:rPr>
        <w:t>1. Общие положения</w:t>
      </w:r>
    </w:p>
    <w:p w:rsidR="00FF6537" w:rsidRPr="00FF6537" w:rsidRDefault="00FF6537" w:rsidP="00FF6537">
      <w:pPr>
        <w:jc w:val="center"/>
        <w:rPr>
          <w:szCs w:val="28"/>
        </w:rPr>
      </w:pPr>
    </w:p>
    <w:p w:rsidR="00FF6537" w:rsidRPr="00FF6537" w:rsidRDefault="00FF6537" w:rsidP="00FF6537">
      <w:pPr>
        <w:ind w:firstLine="708"/>
        <w:rPr>
          <w:rFonts w:ascii="Arial Unicode MS" w:eastAsia="Arial Unicode MS" w:hAnsi="Arial Unicode MS" w:cs="Arial Unicode MS"/>
          <w:color w:val="000000"/>
          <w:sz w:val="24"/>
          <w:lang w:bidi="ru-RU"/>
        </w:rPr>
      </w:pPr>
      <w:r w:rsidRPr="00FF6537">
        <w:rPr>
          <w:szCs w:val="28"/>
        </w:rPr>
        <w:t>1.1. Руководство по соблюдению обязательных требований, предъявляемых при осуществлении муниципального жилищного контроля в городском округе Анадырь, разработано в соответствии с требованиями ст. 46 Федерального закона от 31 июля 2020 г. № 248-ФЗ «О государственном контроле (надзоре) и муниципальном контроле в Российской Федерации», Федеральным законом от 31 июля 2020 г. № 247-ФЗ «Об обязательных требованиях в Российской Федерации».</w:t>
      </w:r>
      <w:r w:rsidRPr="00FF6537">
        <w:rPr>
          <w:rFonts w:ascii="Arial Unicode MS" w:eastAsia="Arial Unicode MS" w:hAnsi="Arial Unicode MS" w:cs="Arial Unicode MS"/>
          <w:color w:val="000000"/>
          <w:sz w:val="24"/>
          <w:lang w:bidi="ru-RU"/>
        </w:rPr>
        <w:t xml:space="preserve"> 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Настоящее Руководство разработано в целях оказания юридическим лицам, индивидуальным предпринимателям, в том числе относящимся к субъектам малого и среднего предпринимательства, гражданам информационно-методической поддержки в вопросах соблюдения обязательных требований, контроль за соблюдением которых осуществляет Администрация городского округа Анадырь при осуществлении муниципального жилищного контроля в городском округе Анадырь.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 xml:space="preserve">1.2. Тексты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контроля, размещены на официальном информационно-правовом ресурсе городского округа Анадырь </w:t>
      </w:r>
      <w:hyperlink r:id="rId4" w:history="1">
        <w:r w:rsidRPr="00F2779C">
          <w:rPr>
            <w:szCs w:val="28"/>
          </w:rPr>
          <w:t>www.novomariinsk.ru</w:t>
        </w:r>
      </w:hyperlink>
      <w:r w:rsidRPr="00FF6537">
        <w:rPr>
          <w:szCs w:val="28"/>
        </w:rPr>
        <w:t xml:space="preserve"> в подразделе «Муниципальный контроль» раздела «Документы».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 xml:space="preserve">1.3. Предметом муниципального жилищного контроля является: </w:t>
      </w:r>
    </w:p>
    <w:p w:rsidR="00FF6537" w:rsidRPr="00F2779C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1) соблюдение юридическими лицами, индивидуальными предпринимателями и гражданами (далее -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2)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3) требований к формированию фондов капитального ремонта;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lastRenderedPageBreak/>
        <w:t>4)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5)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6)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7)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8)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9) требований энергетической эффективности и оснащённости помещений многоквартирных домов и жилых домов приборами учёта используемых энергетических ресурсов;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10)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11) требований к обеспечению доступности для инвалидов помещений в многоквартирных домах;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12) требований к предоставлению жилых помещений в наёмных домах социального использования.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1.4. Объектами муниципального жилищного контроля являются: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1.5. Особенности организации и осуществления муниципального контроля в отношении отдельных территорий, в том числе особых экономических зон, Арктической зоны Российской Федерации установлены статьей 13 Федерального закона от 13 июля 2020 г № 193-ФЗ «О государственной поддержке предпринимательской деятельности в Арктической зоне Российской Федерации».</w:t>
      </w:r>
    </w:p>
    <w:p w:rsidR="00FF6537" w:rsidRPr="00FF6537" w:rsidRDefault="00FF6537" w:rsidP="00FF6537">
      <w:pPr>
        <w:ind w:firstLine="708"/>
        <w:rPr>
          <w:szCs w:val="28"/>
        </w:rPr>
      </w:pPr>
    </w:p>
    <w:p w:rsidR="00FF6537" w:rsidRPr="00FF6537" w:rsidRDefault="00FF6537" w:rsidP="00FF6537">
      <w:pPr>
        <w:ind w:firstLine="708"/>
        <w:jc w:val="center"/>
        <w:rPr>
          <w:b/>
          <w:szCs w:val="28"/>
        </w:rPr>
      </w:pPr>
      <w:r w:rsidRPr="00FF6537">
        <w:rPr>
          <w:b/>
          <w:szCs w:val="28"/>
        </w:rPr>
        <w:lastRenderedPageBreak/>
        <w:t>2. 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</w:t>
      </w:r>
    </w:p>
    <w:p w:rsidR="00FF6537" w:rsidRPr="00FF6537" w:rsidRDefault="00FF6537" w:rsidP="00FF6537">
      <w:pPr>
        <w:ind w:firstLine="708"/>
        <w:jc w:val="center"/>
        <w:rPr>
          <w:b/>
          <w:szCs w:val="28"/>
        </w:rPr>
      </w:pPr>
    </w:p>
    <w:p w:rsidR="00FF6537" w:rsidRPr="00FF6537" w:rsidRDefault="00FF6537" w:rsidP="00FF6537">
      <w:pPr>
        <w:ind w:firstLine="708"/>
        <w:rPr>
          <w:szCs w:val="28"/>
        </w:rPr>
      </w:pPr>
      <w:bookmarkStart w:id="0" w:name="_GoBack"/>
      <w:bookmarkEnd w:id="0"/>
      <w:r w:rsidRPr="00FF6537">
        <w:rPr>
          <w:szCs w:val="28"/>
        </w:rPr>
        <w:t xml:space="preserve">Жилищный кодекс Российской Федерации; 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Кодекс Российской Федерации об административных правонарушениях от 30 декабря 2001 г. № 195-ФЗ;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 xml:space="preserve">Федеральный закон от 31 июля 2020 г. № 248-ФЗ «О государственном контроле (надзоре) и муниципальном контроле в Российской Федерации»; 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Федеральный закон от 30 декабря 2009 г. № 384-ФЗ «Технический регламент о безопасности зданий и сооружений»;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Постановление Правительства Российской Федерации от 13 августа 2006 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Постановление Правительства Российской Федерации от 6 мая 2011 г. № 354 «О предоставлении коммунальных услуг собственникам и пользователям жилых помещений в многоквартирных домах и жилых домов»;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Постановление Правительства Российской Федерации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Постановление Правительства Российской Федерации от 15 мая 2013 г. № 416 «О порядке осуществления деятельности по управлению многоквартирными домами»;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Постановление Госстроя России от 27 сентября 2003 г. № 170 «Об утверждении Правил и норм технической эксплуатации жилищного фонда»;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Закон Чукотского автономного округа от 6 июня 2008 г. № 69-ОЗ «Об административной ответственности за нарушение законов и иных нормативных правовых актов Чукотского автономного округа, нормативных правовых актов органов местного самоуправления в Чукотском автономном округе»;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Решение Совета депутатов городского округа Анадырь от 14 октября 2021 г. № 165 «Об утверждении Положения о муниципальном жилищном контроле в городском округе Анадырь».</w:t>
      </w:r>
    </w:p>
    <w:p w:rsidR="00FF6537" w:rsidRPr="00FF6537" w:rsidRDefault="00FF6537" w:rsidP="00FF6537">
      <w:pPr>
        <w:ind w:firstLine="708"/>
        <w:rPr>
          <w:szCs w:val="28"/>
        </w:rPr>
      </w:pPr>
    </w:p>
    <w:p w:rsidR="00FF6537" w:rsidRPr="00FF6537" w:rsidRDefault="00FF6537" w:rsidP="00FF6537">
      <w:pPr>
        <w:ind w:firstLine="708"/>
        <w:jc w:val="center"/>
        <w:rPr>
          <w:b/>
          <w:szCs w:val="28"/>
        </w:rPr>
      </w:pPr>
      <w:r w:rsidRPr="00FF6537">
        <w:rPr>
          <w:szCs w:val="28"/>
        </w:rPr>
        <w:t xml:space="preserve">3. </w:t>
      </w:r>
      <w:r w:rsidRPr="00FF6537">
        <w:rPr>
          <w:b/>
          <w:szCs w:val="28"/>
        </w:rPr>
        <w:t>Административная ответственность</w:t>
      </w:r>
    </w:p>
    <w:p w:rsidR="00FF6537" w:rsidRPr="00FF6537" w:rsidRDefault="00FF6537" w:rsidP="00FF6537">
      <w:pPr>
        <w:rPr>
          <w:szCs w:val="28"/>
        </w:rPr>
      </w:pP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3.1. Административная ответственность предусмотрена Кодексом Российской Федерации об административных правонарушениях, в том числе: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 xml:space="preserve">- статья 19.4.1 - воспрепятствование законной деятельности должностного лица органа государственного контроля (надзора), </w:t>
      </w:r>
      <w:r w:rsidRPr="00FF6537">
        <w:rPr>
          <w:szCs w:val="28"/>
        </w:rPr>
        <w:lastRenderedPageBreak/>
        <w:t>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- статья 19.5 -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 xml:space="preserve">- статья 19.16 - нарушение законодательства об энергосбережении и о повышении энергетической эффективности. 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- статья 19.7. - непредставление сведений (информации);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 xml:space="preserve">- статья 7.23 - нарушение нормативов обеспечения населения коммунальными услугами. </w:t>
      </w:r>
    </w:p>
    <w:p w:rsidR="00FF6537" w:rsidRPr="00FF6537" w:rsidRDefault="00FF6537" w:rsidP="00FF6537">
      <w:pPr>
        <w:ind w:firstLine="708"/>
        <w:rPr>
          <w:szCs w:val="28"/>
        </w:rPr>
      </w:pPr>
      <w:r w:rsidRPr="00FF6537">
        <w:rPr>
          <w:szCs w:val="28"/>
        </w:rPr>
        <w:t>- статья 7.22 - Нарушение правил содержания и ремонта жилых домов и (или) жилых помещений.</w:t>
      </w:r>
    </w:p>
    <w:p w:rsidR="00FF6537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p w:rsidR="00FF6537" w:rsidRPr="001C4E83" w:rsidRDefault="00FF6537" w:rsidP="001C4E83">
      <w:pPr>
        <w:autoSpaceDE w:val="0"/>
        <w:autoSpaceDN w:val="0"/>
        <w:adjustRightInd w:val="0"/>
        <w:rPr>
          <w:szCs w:val="28"/>
          <w:lang w:eastAsia="en-US"/>
        </w:rPr>
      </w:pPr>
    </w:p>
    <w:sectPr w:rsidR="00FF6537" w:rsidRPr="001C4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83"/>
    <w:rsid w:val="00025F2F"/>
    <w:rsid w:val="001C4E83"/>
    <w:rsid w:val="00217D43"/>
    <w:rsid w:val="002258A8"/>
    <w:rsid w:val="00234F4D"/>
    <w:rsid w:val="00252A44"/>
    <w:rsid w:val="00376786"/>
    <w:rsid w:val="00397CC2"/>
    <w:rsid w:val="00701CF2"/>
    <w:rsid w:val="00793FFC"/>
    <w:rsid w:val="0084115E"/>
    <w:rsid w:val="008D199A"/>
    <w:rsid w:val="00921641"/>
    <w:rsid w:val="00A57A99"/>
    <w:rsid w:val="00B402A7"/>
    <w:rsid w:val="00E62BB1"/>
    <w:rsid w:val="00E66E70"/>
    <w:rsid w:val="00F2779C"/>
    <w:rsid w:val="00F429D3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56EC"/>
  <w15:chartTrackingRefBased/>
  <w15:docId w15:val="{CEBBAA01-21BC-48F6-8E80-5B545570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CC2"/>
    <w:pPr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7CC2"/>
    <w:pPr>
      <w:keepNext/>
      <w:spacing w:before="240" w:after="60"/>
      <w:jc w:val="center"/>
      <w:outlineLvl w:val="0"/>
    </w:pPr>
    <w:rPr>
      <w:b/>
      <w:bCs/>
      <w:kern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97CC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C2"/>
    <w:pPr>
      <w:keepNext/>
      <w:spacing w:before="240" w:after="60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C2"/>
    <w:pPr>
      <w:spacing w:before="240" w:after="60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C2"/>
    <w:pPr>
      <w:spacing w:before="240" w:after="60"/>
      <w:outlineLvl w:val="6"/>
    </w:pPr>
    <w:rPr>
      <w:rFonts w:ascii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C2"/>
    <w:pPr>
      <w:spacing w:before="240" w:after="60"/>
      <w:outlineLvl w:val="7"/>
    </w:pPr>
    <w:rPr>
      <w:rFonts w:ascii="Calibri" w:hAnsi="Calibri"/>
      <w:i/>
      <w:iCs/>
      <w:sz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C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Адм 1"/>
    <w:basedOn w:val="a"/>
    <w:next w:val="a"/>
    <w:qFormat/>
    <w:rsid w:val="00397CC2"/>
    <w:pPr>
      <w:tabs>
        <w:tab w:val="left" w:pos="1080"/>
      </w:tabs>
      <w:ind w:right="176"/>
      <w:jc w:val="center"/>
    </w:pPr>
    <w:rPr>
      <w:b/>
      <w:szCs w:val="28"/>
    </w:rPr>
  </w:style>
  <w:style w:type="character" w:customStyle="1" w:styleId="10">
    <w:name w:val="Заголовок 1 Знак"/>
    <w:link w:val="1"/>
    <w:uiPriority w:val="9"/>
    <w:rsid w:val="00397CC2"/>
    <w:rPr>
      <w:rFonts w:ascii="Times New Roman" w:hAnsi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97CC2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97CC2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97CC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97CC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397CC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397CC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397CC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397CC2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397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Заголовок Знак"/>
    <w:link w:val="a3"/>
    <w:uiPriority w:val="10"/>
    <w:rsid w:val="00397CC2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97CC2"/>
    <w:pPr>
      <w:spacing w:after="60"/>
      <w:jc w:val="center"/>
      <w:outlineLvl w:val="1"/>
    </w:pPr>
    <w:rPr>
      <w:rFonts w:ascii="Cambria" w:hAnsi="Cambria"/>
      <w:sz w:val="24"/>
      <w:lang w:eastAsia="en-US"/>
    </w:rPr>
  </w:style>
  <w:style w:type="character" w:customStyle="1" w:styleId="a6">
    <w:name w:val="Подзаголовок Знак"/>
    <w:link w:val="a5"/>
    <w:uiPriority w:val="11"/>
    <w:rsid w:val="00397CC2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397CC2"/>
    <w:rPr>
      <w:b/>
      <w:bCs/>
    </w:rPr>
  </w:style>
  <w:style w:type="character" w:styleId="a8">
    <w:name w:val="Emphasis"/>
    <w:uiPriority w:val="20"/>
    <w:qFormat/>
    <w:rsid w:val="00397CC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397CC2"/>
    <w:rPr>
      <w:szCs w:val="32"/>
    </w:rPr>
  </w:style>
  <w:style w:type="paragraph" w:styleId="aa">
    <w:name w:val="List Paragraph"/>
    <w:basedOn w:val="a"/>
    <w:uiPriority w:val="34"/>
    <w:qFormat/>
    <w:rsid w:val="00397C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7CC2"/>
    <w:rPr>
      <w:rFonts w:ascii="Calibri" w:hAnsi="Calibri"/>
      <w:i/>
      <w:sz w:val="24"/>
      <w:lang w:eastAsia="en-US"/>
    </w:rPr>
  </w:style>
  <w:style w:type="character" w:customStyle="1" w:styleId="22">
    <w:name w:val="Цитата 2 Знак"/>
    <w:link w:val="21"/>
    <w:uiPriority w:val="29"/>
    <w:rsid w:val="00397CC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97CC2"/>
    <w:pPr>
      <w:ind w:left="720" w:right="720"/>
    </w:pPr>
    <w:rPr>
      <w:rFonts w:ascii="Calibri" w:hAnsi="Calibri"/>
      <w:b/>
      <w:i/>
      <w:sz w:val="24"/>
      <w:szCs w:val="20"/>
      <w:lang w:eastAsia="en-US"/>
    </w:rPr>
  </w:style>
  <w:style w:type="character" w:customStyle="1" w:styleId="ac">
    <w:name w:val="Выделенная цитата Знак"/>
    <w:link w:val="ab"/>
    <w:uiPriority w:val="30"/>
    <w:rsid w:val="00397CC2"/>
    <w:rPr>
      <w:b/>
      <w:i/>
      <w:sz w:val="24"/>
    </w:rPr>
  </w:style>
  <w:style w:type="character" w:styleId="ad">
    <w:name w:val="Subtle Emphasis"/>
    <w:uiPriority w:val="19"/>
    <w:qFormat/>
    <w:rsid w:val="00397CC2"/>
    <w:rPr>
      <w:i/>
      <w:color w:val="5A5A5A"/>
    </w:rPr>
  </w:style>
  <w:style w:type="character" w:styleId="ae">
    <w:name w:val="Intense Emphasis"/>
    <w:uiPriority w:val="21"/>
    <w:qFormat/>
    <w:rsid w:val="00397CC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397CC2"/>
    <w:rPr>
      <w:sz w:val="24"/>
      <w:szCs w:val="24"/>
      <w:u w:val="single"/>
    </w:rPr>
  </w:style>
  <w:style w:type="character" w:styleId="af0">
    <w:name w:val="Intense Reference"/>
    <w:uiPriority w:val="32"/>
    <w:qFormat/>
    <w:rsid w:val="00397CC2"/>
    <w:rPr>
      <w:b/>
      <w:sz w:val="24"/>
      <w:u w:val="single"/>
    </w:rPr>
  </w:style>
  <w:style w:type="character" w:styleId="af1">
    <w:name w:val="Book Title"/>
    <w:uiPriority w:val="33"/>
    <w:qFormat/>
    <w:rsid w:val="00397CC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97CC2"/>
    <w:pPr>
      <w:outlineLvl w:val="9"/>
    </w:pPr>
    <w:rPr>
      <w:rFonts w:ascii="Cambria" w:hAnsi="Cambria"/>
      <w:lang w:eastAsia="ru-RU"/>
    </w:rPr>
  </w:style>
  <w:style w:type="table" w:styleId="af3">
    <w:name w:val="Table Grid"/>
    <w:basedOn w:val="a1"/>
    <w:uiPriority w:val="39"/>
    <w:rsid w:val="001C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4E83"/>
    <w:pPr>
      <w:widowControl w:val="0"/>
      <w:autoSpaceDE w:val="0"/>
      <w:autoSpaceDN w:val="0"/>
    </w:pPr>
    <w:rPr>
      <w:rFonts w:ascii="Times New Roman" w:hAnsi="Times New Roman"/>
      <w:sz w:val="28"/>
      <w:lang w:eastAsia="ru-RU"/>
    </w:rPr>
  </w:style>
  <w:style w:type="character" w:styleId="af4">
    <w:name w:val="Hyperlink"/>
    <w:basedOn w:val="a0"/>
    <w:uiPriority w:val="99"/>
    <w:semiHidden/>
    <w:unhideWhenUsed/>
    <w:rsid w:val="001C4E83"/>
    <w:rPr>
      <w:color w:val="0000FF"/>
      <w:u w:val="single"/>
    </w:rPr>
  </w:style>
  <w:style w:type="character" w:customStyle="1" w:styleId="username">
    <w:name w:val="username"/>
    <w:basedOn w:val="a0"/>
    <w:rsid w:val="001C4E83"/>
  </w:style>
  <w:style w:type="paragraph" w:styleId="af5">
    <w:name w:val="Balloon Text"/>
    <w:basedOn w:val="a"/>
    <w:link w:val="af6"/>
    <w:uiPriority w:val="99"/>
    <w:semiHidden/>
    <w:unhideWhenUsed/>
    <w:rsid w:val="00252A4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52A4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mari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Золотарева</dc:creator>
  <cp:keywords/>
  <dc:description/>
  <cp:lastModifiedBy>Олег Соколов</cp:lastModifiedBy>
  <cp:revision>3</cp:revision>
  <cp:lastPrinted>2021-12-15T22:19:00Z</cp:lastPrinted>
  <dcterms:created xsi:type="dcterms:W3CDTF">2022-09-01T06:26:00Z</dcterms:created>
  <dcterms:modified xsi:type="dcterms:W3CDTF">2022-09-01T23:20:00Z</dcterms:modified>
</cp:coreProperties>
</file>