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B0" w:rsidRPr="004130DA" w:rsidRDefault="005069B0" w:rsidP="005069B0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0DA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</w:p>
    <w:p w:rsidR="005069B0" w:rsidRPr="004A568E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8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5069B0" w:rsidRPr="00F85F33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Pr="00BC2D24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Pr="006D77AE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9B0" w:rsidRPr="006D77AE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7AE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5069B0" w:rsidRDefault="005069B0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700" w:rsidRDefault="005069B0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40E" w:rsidRPr="00F01969">
        <w:rPr>
          <w:rFonts w:ascii="Times New Roman" w:hAnsi="Times New Roman" w:cs="Times New Roman"/>
          <w:b/>
          <w:sz w:val="32"/>
          <w:szCs w:val="32"/>
        </w:rPr>
        <w:t>«Проведение внешней проверки годового отчета об исполнении бюджета муниципального образования»</w:t>
      </w:r>
    </w:p>
    <w:p w:rsidR="007E63CA" w:rsidRPr="00F01969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AB4" w:rsidRPr="00BC2D24" w:rsidRDefault="00760AB4" w:rsidP="007E63CA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CE6BA0">
        <w:rPr>
          <w:rFonts w:ascii="Times New Roman" w:hAnsi="Times New Roman"/>
          <w:i/>
          <w:sz w:val="28"/>
          <w:szCs w:val="28"/>
        </w:rPr>
        <w:t>(У</w:t>
      </w:r>
      <w:r w:rsidRPr="00462E18">
        <w:rPr>
          <w:rFonts w:ascii="Times New Roman" w:hAnsi="Times New Roman"/>
          <w:i/>
          <w:sz w:val="28"/>
          <w:szCs w:val="28"/>
        </w:rPr>
        <w:t xml:space="preserve">твержден распоряжением  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Pr="00462E18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1 декабря 2021 года №</w:t>
      </w:r>
      <w:r w:rsidR="00A7197C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-рп</w:t>
      </w:r>
      <w:r w:rsidRPr="00462E18">
        <w:rPr>
          <w:rFonts w:ascii="Times New Roman" w:hAnsi="Times New Roman"/>
          <w:i/>
          <w:sz w:val="28"/>
          <w:szCs w:val="28"/>
        </w:rPr>
        <w:t>)</w:t>
      </w:r>
    </w:p>
    <w:p w:rsidR="000604A1" w:rsidRPr="00A9526C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63CA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63CA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63CA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60AB4" w:rsidRPr="00BC2D24" w:rsidRDefault="007E63CA" w:rsidP="007E63CA">
      <w:pPr>
        <w:tabs>
          <w:tab w:val="left" w:pos="9356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1" w:name="sub_100"/>
      <w:bookmarkStart w:id="2" w:name="_Toc317085902"/>
      <w:r>
        <w:rPr>
          <w:rFonts w:ascii="Times New Roman" w:hAnsi="Times New Roman"/>
          <w:sz w:val="28"/>
          <w:szCs w:val="28"/>
        </w:rPr>
        <w:t>начало действия с 1 декабря 2021 года</w:t>
      </w:r>
    </w:p>
    <w:p w:rsidR="00760AB4" w:rsidRPr="00BC2D24" w:rsidRDefault="00760AB4" w:rsidP="00760AB4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E63CA" w:rsidRDefault="007E63CA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804F35" w:rsidRDefault="00804F35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E63CA" w:rsidRDefault="007E63CA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7320"/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0AB4" w:rsidRPr="00B324DF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760AB4" w:rsidRPr="00F85F33" w:rsidRDefault="00760AB4" w:rsidP="00760AB4">
      <w:pPr>
        <w:tabs>
          <w:tab w:val="left" w:pos="93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B324DF">
        <w:rPr>
          <w:rFonts w:ascii="Times New Roman" w:hAnsi="Times New Roman"/>
          <w:sz w:val="28"/>
          <w:szCs w:val="28"/>
        </w:rPr>
        <w:t>год</w:t>
      </w:r>
      <w:r w:rsidRPr="00BC2D24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2"/>
        <w:gridCol w:w="674"/>
      </w:tblGrid>
      <w:tr w:rsidR="005069B0" w:rsidTr="005069B0">
        <w:tc>
          <w:tcPr>
            <w:tcW w:w="9571" w:type="dxa"/>
            <w:gridSpan w:val="3"/>
          </w:tcPr>
          <w:p w:rsidR="005069B0" w:rsidRDefault="005069B0" w:rsidP="0045190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5069B0" w:rsidRDefault="005069B0" w:rsidP="0045190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69B0" w:rsidTr="005069B0">
        <w:tc>
          <w:tcPr>
            <w:tcW w:w="534" w:type="dxa"/>
          </w:tcPr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069B0" w:rsidRPr="00BE5182" w:rsidRDefault="005069B0" w:rsidP="0045190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74" w:type="dxa"/>
          </w:tcPr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69B0" w:rsidTr="005069B0">
        <w:tc>
          <w:tcPr>
            <w:tcW w:w="53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069B0" w:rsidRDefault="005069B0" w:rsidP="0045190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бюджетной отчетности главных </w:t>
            </w: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администраторов бюджетных средств (ГАБС)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………………………</w:t>
            </w:r>
          </w:p>
        </w:tc>
        <w:tc>
          <w:tcPr>
            <w:tcW w:w="67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69B0" w:rsidTr="005069B0">
        <w:tc>
          <w:tcPr>
            <w:tcW w:w="53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069B0" w:rsidRDefault="005069B0" w:rsidP="0045190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……………….………………………...</w:t>
            </w:r>
          </w:p>
        </w:tc>
        <w:tc>
          <w:tcPr>
            <w:tcW w:w="67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174626" w:rsidP="005069B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069B0" w:rsidTr="005069B0">
        <w:tc>
          <w:tcPr>
            <w:tcW w:w="53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5069B0" w:rsidRDefault="005069B0" w:rsidP="0045190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заключения по результатам внешней проверки годового отчета об исполнении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муниципального образования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………………………………………………………..…...</w:t>
            </w:r>
          </w:p>
        </w:tc>
        <w:tc>
          <w:tcPr>
            <w:tcW w:w="67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069B0" w:rsidTr="005069B0">
        <w:tc>
          <w:tcPr>
            <w:tcW w:w="8897" w:type="dxa"/>
            <w:gridSpan w:val="2"/>
          </w:tcPr>
          <w:p w:rsidR="005069B0" w:rsidRDefault="005069B0" w:rsidP="0045190D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5069B0" w:rsidRDefault="005069B0" w:rsidP="005069B0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………………………………………………………………….</w:t>
            </w:r>
          </w:p>
        </w:tc>
        <w:tc>
          <w:tcPr>
            <w:tcW w:w="674" w:type="dxa"/>
          </w:tcPr>
          <w:p w:rsidR="005069B0" w:rsidRDefault="005069B0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9B0" w:rsidRPr="00BE5182" w:rsidRDefault="005069B0" w:rsidP="00996FD3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5069B0" w:rsidRPr="000604A1" w:rsidRDefault="005069B0" w:rsidP="000604A1">
      <w:pPr>
        <w:tabs>
          <w:tab w:val="left" w:pos="9356"/>
        </w:tabs>
        <w:jc w:val="center"/>
        <w:rPr>
          <w:iCs/>
        </w:rPr>
      </w:pPr>
    </w:p>
    <w:p w:rsidR="003767AF" w:rsidRDefault="003767AF" w:rsidP="003767AF"/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Default="003767AF" w:rsidP="003767AF"/>
    <w:p w:rsidR="003767AF" w:rsidRDefault="003767AF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5069B0" w:rsidRDefault="005069B0" w:rsidP="003767AF"/>
    <w:p w:rsidR="005069B0" w:rsidRDefault="005069B0" w:rsidP="003767AF"/>
    <w:p w:rsidR="005069B0" w:rsidRDefault="005069B0" w:rsidP="003767AF"/>
    <w:p w:rsidR="005069B0" w:rsidRDefault="005069B0" w:rsidP="003767AF"/>
    <w:p w:rsidR="005069B0" w:rsidRDefault="005069B0" w:rsidP="003767AF"/>
    <w:p w:rsidR="005069B0" w:rsidRDefault="005069B0" w:rsidP="003767AF"/>
    <w:p w:rsidR="00FB4877" w:rsidRDefault="00FB4877" w:rsidP="003767AF"/>
    <w:p w:rsidR="005069B0" w:rsidRDefault="005069B0" w:rsidP="003767AF"/>
    <w:p w:rsidR="005069B0" w:rsidRDefault="005069B0" w:rsidP="003767AF"/>
    <w:p w:rsidR="00FB4877" w:rsidRDefault="00FB4877" w:rsidP="003767AF"/>
    <w:p w:rsidR="00FB4877" w:rsidRDefault="00FB4877" w:rsidP="003767AF"/>
    <w:p w:rsidR="006310D1" w:rsidRDefault="00562ADC" w:rsidP="001976A8">
      <w:pPr>
        <w:pStyle w:val="2"/>
        <w:numPr>
          <w:ilvl w:val="0"/>
          <w:numId w:val="17"/>
        </w:numPr>
        <w:spacing w:before="0"/>
        <w:ind w:hanging="11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Toc319311281"/>
      <w:r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022629"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6310D1"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щие положения</w:t>
      </w:r>
      <w:bookmarkEnd w:id="1"/>
      <w:bookmarkEnd w:id="2"/>
      <w:bookmarkEnd w:id="3"/>
    </w:p>
    <w:p w:rsidR="00CD296F" w:rsidRPr="00660D5F" w:rsidRDefault="00CD296F" w:rsidP="00A84201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CD29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0D1" w:rsidRPr="00753B8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0043E1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976A8">
        <w:rPr>
          <w:rFonts w:ascii="Times New Roman" w:eastAsia="Times New Roman" w:hAnsi="Times New Roman" w:cs="Times New Roman"/>
          <w:iCs/>
          <w:sz w:val="28"/>
          <w:szCs w:val="28"/>
        </w:rPr>
        <w:t>Контрольно-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счетной палаты</w:t>
      </w:r>
      <w:r w:rsidRPr="00997A6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округа Анадырь 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296F">
        <w:rPr>
          <w:rFonts w:ascii="Times New Roman" w:eastAsia="Times New Roman" w:hAnsi="Times New Roman" w:cs="Times New Roman"/>
          <w:sz w:val="28"/>
          <w:szCs w:val="28"/>
        </w:rPr>
        <w:t>Проведение внешней проверки годового отчета об исполнении бюджета муниципального образования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 xml:space="preserve">» (далее - Стандарт) </w:t>
      </w:r>
      <w:r w:rsidRPr="00660D5F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Федеральным законом от 07 фев</w:t>
      </w:r>
      <w:r w:rsidRPr="00660D5F">
        <w:rPr>
          <w:rFonts w:ascii="Times New Roman" w:eastAsia="Times New Roman" w:hAnsi="Times New Roman" w:cs="Times New Roman"/>
          <w:iCs/>
          <w:sz w:val="28"/>
          <w:szCs w:val="28"/>
        </w:rPr>
        <w:t>раля 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660D5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84201" w:rsidRPr="00660D5F">
        <w:rPr>
          <w:rFonts w:ascii="Times New Roman" w:hAnsi="Times New Roman"/>
          <w:spacing w:val="-2"/>
          <w:sz w:val="28"/>
          <w:szCs w:val="28"/>
        </w:rPr>
        <w:t xml:space="preserve">Общими требованиями к стандартам </w:t>
      </w:r>
      <w:r w:rsidR="00A84201" w:rsidRPr="00660D5F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утвержденные Коллегией Счетной палаты РФ, протокол от 17 октября 2014 года № 47К (993)</w:t>
      </w:r>
      <w:r w:rsidRPr="00660D5F">
        <w:rPr>
          <w:rFonts w:ascii="Times New Roman" w:eastAsia="Times New Roman" w:hAnsi="Times New Roman" w:cs="Times New Roman"/>
          <w:sz w:val="28"/>
          <w:szCs w:val="28"/>
        </w:rPr>
        <w:t xml:space="preserve">, пунктом 10 Положения о Контрольно-счетной палате городского округа Анадырь, утвержденного решением Совета депутатов городского округа </w:t>
      </w:r>
      <w:r w:rsidRPr="00660D5F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Анадырь от 25 ноября 2021 года №187 (далее </w:t>
      </w:r>
      <w:r w:rsidR="001976A8" w:rsidRPr="00660D5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60D5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Положен</w:t>
      </w:r>
      <w:r w:rsidR="00A7197C" w:rsidRPr="00660D5F">
        <w:rPr>
          <w:rFonts w:ascii="Times New Roman" w:eastAsia="Times New Roman" w:hAnsi="Times New Roman" w:cs="Times New Roman"/>
          <w:iCs/>
          <w:sz w:val="28"/>
          <w:szCs w:val="28"/>
        </w:rPr>
        <w:t>ие о Контрольно-счетной палате)</w:t>
      </w:r>
      <w:r w:rsidRPr="00660D5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F1270" w:rsidRDefault="00CD296F" w:rsidP="008F1270">
      <w:pPr>
        <w:pStyle w:val="af3"/>
        <w:ind w:left="13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D5F">
        <w:rPr>
          <w:rFonts w:ascii="Times New Roman" w:eastAsia="Times New Roman" w:hAnsi="Times New Roman" w:cs="Times New Roman"/>
          <w:snapToGrid w:val="0"/>
          <w:sz w:val="28"/>
          <w:szCs w:val="28"/>
        </w:rPr>
        <w:t>1.2.</w:t>
      </w:r>
      <w:r w:rsidRPr="00660D5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660D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Целью Стандарта является установление </w:t>
      </w:r>
      <w:r w:rsidRPr="00660D5F">
        <w:rPr>
          <w:rFonts w:ascii="Times New Roman" w:hAnsi="Times New Roman" w:cs="Times New Roman"/>
          <w:sz w:val="28"/>
          <w:szCs w:val="28"/>
        </w:rPr>
        <w:t>единых принципов и подходов к организации, проведению и оформлению</w:t>
      </w:r>
      <w:r w:rsidRPr="00753B82">
        <w:rPr>
          <w:rFonts w:ascii="Times New Roman" w:hAnsi="Times New Roman" w:cs="Times New Roman"/>
          <w:sz w:val="28"/>
          <w:szCs w:val="28"/>
        </w:rPr>
        <w:t xml:space="preserve"> 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8F1270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палатой 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(далее </w:t>
      </w:r>
      <w:r w:rsidR="001976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270" w:rsidRPr="00DB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8F1270">
        <w:rPr>
          <w:rFonts w:ascii="Times New Roman" w:eastAsia="Times New Roman" w:hAnsi="Times New Roman" w:cs="Times New Roman"/>
          <w:sz w:val="28"/>
          <w:szCs w:val="28"/>
        </w:rPr>
        <w:t>счетная палата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3B82">
        <w:rPr>
          <w:rFonts w:ascii="Times New Roman" w:hAnsi="Times New Roman" w:cs="Times New Roman"/>
          <w:sz w:val="28"/>
          <w:szCs w:val="28"/>
        </w:rPr>
        <w:t xml:space="preserve">результатов внешней проверки годового отчета об исполнении бюджета муниципального образования (далее </w:t>
      </w:r>
      <w:r w:rsidR="001976A8">
        <w:rPr>
          <w:rFonts w:ascii="Times New Roman" w:hAnsi="Times New Roman" w:cs="Times New Roman"/>
          <w:sz w:val="28"/>
          <w:szCs w:val="28"/>
        </w:rPr>
        <w:t>-</w:t>
      </w:r>
      <w:r w:rsidRPr="00753B82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отчета)</w:t>
      </w:r>
      <w:r w:rsidRPr="00CD2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270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753B82" w:rsidRPr="00753B82">
        <w:rPr>
          <w:rFonts w:ascii="Times New Roman" w:hAnsi="Times New Roman" w:cs="Times New Roman"/>
          <w:sz w:val="28"/>
          <w:szCs w:val="28"/>
        </w:rPr>
        <w:t>При проведении внешней проверки годового отчета и подготовке по ее результатам заключе</w:t>
      </w:r>
      <w:r w:rsidR="001976A8">
        <w:rPr>
          <w:rFonts w:ascii="Times New Roman" w:hAnsi="Times New Roman" w:cs="Times New Roman"/>
          <w:sz w:val="28"/>
          <w:szCs w:val="28"/>
        </w:rPr>
        <w:t>ния должностные лица Контрольно-</w:t>
      </w:r>
      <w:r w:rsidR="00753B82" w:rsidRPr="00753B82">
        <w:rPr>
          <w:rFonts w:ascii="Times New Roman" w:hAnsi="Times New Roman" w:cs="Times New Roman"/>
          <w:sz w:val="28"/>
          <w:szCs w:val="28"/>
        </w:rPr>
        <w:t>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3B82" w:rsidRPr="00753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753B82" w:rsidRPr="00753B82">
        <w:rPr>
          <w:rFonts w:ascii="Times New Roman" w:hAnsi="Times New Roman" w:cs="Times New Roman"/>
          <w:sz w:val="28"/>
          <w:szCs w:val="28"/>
        </w:rPr>
        <w:t xml:space="preserve"> руководствуются Бюджетным кодексом Российской Федерации, Положением о бюджетном процессе в муниципальном образовании (далее </w:t>
      </w:r>
      <w:r w:rsidR="001976A8">
        <w:rPr>
          <w:rFonts w:ascii="Times New Roman" w:hAnsi="Times New Roman" w:cs="Times New Roman"/>
          <w:sz w:val="28"/>
          <w:szCs w:val="28"/>
        </w:rPr>
        <w:t>-</w:t>
      </w:r>
      <w:r w:rsidR="00753B82" w:rsidRPr="00753B82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процессе), требованиями к составлению и представлению отчетности об исполнении бюджетов, иными нормативными правовыми актами Российской Федерации, Чукотского автономного округа</w:t>
      </w:r>
      <w:r w:rsidR="00753B82">
        <w:rPr>
          <w:rFonts w:ascii="Times New Roman" w:hAnsi="Times New Roman" w:cs="Times New Roman"/>
          <w:sz w:val="28"/>
          <w:szCs w:val="28"/>
        </w:rPr>
        <w:t xml:space="preserve"> и городского округа Анадырь</w:t>
      </w:r>
      <w:r w:rsidR="00753B82" w:rsidRPr="00753B82">
        <w:rPr>
          <w:rFonts w:ascii="Times New Roman" w:hAnsi="Times New Roman" w:cs="Times New Roman"/>
          <w:sz w:val="28"/>
          <w:szCs w:val="28"/>
        </w:rPr>
        <w:t>.</w:t>
      </w:r>
    </w:p>
    <w:p w:rsidR="008F1270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53B82" w:rsidRPr="008F1270">
        <w:rPr>
          <w:rFonts w:ascii="Times New Roman" w:hAnsi="Times New Roman" w:cs="Times New Roman"/>
          <w:sz w:val="28"/>
          <w:szCs w:val="28"/>
        </w:rPr>
        <w:t>Основанием для проведения внешней проверки годового отчета являются положения статьи 264.4 Бюджетного кодекса Российской Федерации и Положения о бюджетном процессе.</w:t>
      </w:r>
    </w:p>
    <w:p w:rsidR="008F1270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53B82" w:rsidRPr="00F36E62">
        <w:rPr>
          <w:rFonts w:ascii="Times New Roman" w:hAnsi="Times New Roman" w:cs="Times New Roman"/>
          <w:sz w:val="28"/>
          <w:szCs w:val="28"/>
        </w:rPr>
        <w:t>Основным методом проведения внешней проверки является сравнительный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анализ показателей годовой отчетности с данными, содержащимися в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бухгалтерских, отчетных и иных документах проверяемых объектов, а также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анализ соответствия отчета об исполнении бюджета муниципального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образования требованиям Бюджетного кодекса Российской Федерации,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F36E62">
        <w:rPr>
          <w:rFonts w:ascii="Times New Roman" w:hAnsi="Times New Roman" w:cs="Times New Roman"/>
          <w:sz w:val="28"/>
          <w:szCs w:val="28"/>
        </w:rPr>
        <w:t xml:space="preserve">и </w:t>
      </w:r>
      <w:r w:rsidR="00753B82" w:rsidRPr="00F36E62">
        <w:rPr>
          <w:rFonts w:ascii="Times New Roman" w:hAnsi="Times New Roman" w:cs="Times New Roman"/>
          <w:sz w:val="28"/>
          <w:szCs w:val="28"/>
        </w:rPr>
        <w:t>нормативным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прав</w:t>
      </w:r>
      <w:r w:rsidR="00F36E62">
        <w:rPr>
          <w:rFonts w:ascii="Times New Roman" w:hAnsi="Times New Roman" w:cs="Times New Roman"/>
          <w:sz w:val="28"/>
          <w:szCs w:val="28"/>
        </w:rPr>
        <w:t xml:space="preserve">овым федерального, окружного, муниципального уровней. </w:t>
      </w:r>
    </w:p>
    <w:p w:rsidR="00753B82" w:rsidRPr="00F36E62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53B82" w:rsidRPr="00F36E62">
        <w:rPr>
          <w:rFonts w:ascii="Times New Roman" w:hAnsi="Times New Roman" w:cs="Times New Roman"/>
          <w:sz w:val="28"/>
          <w:szCs w:val="28"/>
        </w:rPr>
        <w:t>Целями проведения внешней проверки годового отчета об исполнении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бюджета муниципального образования являются: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подтверждение полноты и достоверности данных об исполнении местного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бюджета;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оценка соблюдения бюджетного законодательства при осуществлении</w:t>
      </w:r>
    </w:p>
    <w:p w:rsidR="00753B82" w:rsidRPr="00F36E62" w:rsidRDefault="00753B82" w:rsidP="00F36E62">
      <w:pPr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бюджетного процесса в муниципальном образовании;</w:t>
      </w:r>
    </w:p>
    <w:p w:rsidR="00753B8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оценка уровня исполнения показателей, утвержденных решением о бюджете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муниципального образования на отчетный финансовый год.</w:t>
      </w:r>
    </w:p>
    <w:p w:rsidR="008A25CF" w:rsidRPr="0089167B" w:rsidRDefault="007830EF" w:rsidP="008A2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25CF" w:rsidRPr="0089167B">
        <w:rPr>
          <w:rFonts w:ascii="Times New Roman" w:hAnsi="Times New Roman" w:cs="Times New Roman"/>
          <w:sz w:val="28"/>
          <w:szCs w:val="28"/>
        </w:rPr>
        <w:t>.</w:t>
      </w:r>
      <w:r w:rsidR="008F1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5CF" w:rsidRPr="0089167B">
        <w:rPr>
          <w:rFonts w:ascii="Times New Roman" w:hAnsi="Times New Roman" w:cs="Times New Roman"/>
          <w:sz w:val="28"/>
          <w:szCs w:val="28"/>
        </w:rPr>
        <w:t xml:space="preserve"> Внешняя проверка предусматривает проведение контрольных и экспертно-аналитических мероприятий.</w:t>
      </w:r>
    </w:p>
    <w:p w:rsidR="00753B82" w:rsidRPr="0089167B" w:rsidRDefault="008F1270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830EF">
        <w:rPr>
          <w:rFonts w:ascii="Times New Roman" w:hAnsi="Times New Roman" w:cs="Times New Roman"/>
          <w:sz w:val="28"/>
          <w:szCs w:val="28"/>
        </w:rPr>
        <w:t>.</w:t>
      </w:r>
      <w:r w:rsid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Внешняя проверка годового отчета включает: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внешнюю проверку годовой бюджетной отчетности главных администраторов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 xml:space="preserve">бюджетных средств (далее </w:t>
      </w:r>
      <w:r w:rsidR="001976A8">
        <w:rPr>
          <w:rFonts w:ascii="Times New Roman" w:hAnsi="Times New Roman" w:cs="Times New Roman"/>
          <w:sz w:val="28"/>
          <w:szCs w:val="28"/>
        </w:rPr>
        <w:t>-</w:t>
      </w:r>
      <w:r w:rsidRPr="00F36E62">
        <w:rPr>
          <w:rFonts w:ascii="Times New Roman" w:hAnsi="Times New Roman" w:cs="Times New Roman"/>
          <w:sz w:val="28"/>
          <w:szCs w:val="28"/>
        </w:rPr>
        <w:t xml:space="preserve"> ГАБС), а также сведений, представляемых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бюджета, в том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числе на предмет соответствия по составу и заполнению (содержанию)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Инструкции о порядке составления и предоставления годовой, квартальной и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месячной отчетности об исполнении бюджетов бюджетной системы Российской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Федерации, утвержденной приказом Министерства финансов Российской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Федерации</w:t>
      </w:r>
      <w:r w:rsidR="001976A8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r w:rsidRPr="00F36E62">
        <w:rPr>
          <w:rFonts w:ascii="Times New Roman" w:hAnsi="Times New Roman" w:cs="Times New Roman"/>
          <w:sz w:val="28"/>
          <w:szCs w:val="28"/>
        </w:rPr>
        <w:t>2010</w:t>
      </w:r>
      <w:r w:rsidR="001976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6E62">
        <w:rPr>
          <w:rFonts w:ascii="Times New Roman" w:hAnsi="Times New Roman" w:cs="Times New Roman"/>
          <w:sz w:val="28"/>
          <w:szCs w:val="28"/>
        </w:rPr>
        <w:t xml:space="preserve"> №191н (далее </w:t>
      </w:r>
      <w:r w:rsidR="001976A8">
        <w:rPr>
          <w:rFonts w:ascii="Times New Roman" w:hAnsi="Times New Roman" w:cs="Times New Roman"/>
          <w:sz w:val="28"/>
          <w:szCs w:val="28"/>
        </w:rPr>
        <w:t>-</w:t>
      </w:r>
      <w:r w:rsidRPr="00F36E62">
        <w:rPr>
          <w:rFonts w:ascii="Times New Roman" w:hAnsi="Times New Roman" w:cs="Times New Roman"/>
          <w:sz w:val="28"/>
          <w:szCs w:val="28"/>
        </w:rPr>
        <w:t xml:space="preserve"> Инструкция № 191н);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 xml:space="preserve">- </w:t>
      </w:r>
      <w:r w:rsidR="0089167B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Pr="00F36E62">
        <w:rPr>
          <w:rFonts w:ascii="Times New Roman" w:hAnsi="Times New Roman" w:cs="Times New Roman"/>
          <w:sz w:val="28"/>
          <w:szCs w:val="28"/>
        </w:rPr>
        <w:t>проверку полноты и достоверности годового отчета об исполнении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подготовку заключения на годовой отчет об исполнении местного бюджета.</w:t>
      </w:r>
    </w:p>
    <w:p w:rsidR="00753B82" w:rsidRPr="0089167B" w:rsidRDefault="007830EF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2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Предметом внешней проверки являются годовой отчет об исполнении</w:t>
      </w:r>
      <w:r w:rsidR="00F36E62" w:rsidRP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бюджета муниципального образования, сводная годовая бюджетная отчетность</w:t>
      </w:r>
      <w:r w:rsidR="00F36E62" w:rsidRP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ГАБС, в том числе финансового органа.</w:t>
      </w:r>
    </w:p>
    <w:p w:rsidR="00F36E62" w:rsidRPr="0089167B" w:rsidRDefault="007830EF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167B">
        <w:rPr>
          <w:rFonts w:ascii="Times New Roman" w:hAnsi="Times New Roman" w:cs="Times New Roman"/>
          <w:sz w:val="28"/>
          <w:szCs w:val="28"/>
        </w:rPr>
        <w:t>.</w:t>
      </w:r>
      <w:r w:rsidR="008F12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Перечень годовой бюджетной отчетности установлен статьей 264.1</w:t>
      </w:r>
      <w:r w:rsidR="00F36E62" w:rsidRP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753B82" w:rsidRPr="0089167B" w:rsidRDefault="007830EF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1270">
        <w:rPr>
          <w:rFonts w:ascii="Times New Roman" w:hAnsi="Times New Roman" w:cs="Times New Roman"/>
          <w:sz w:val="28"/>
          <w:szCs w:val="28"/>
        </w:rPr>
        <w:t>1</w:t>
      </w:r>
      <w:r w:rsidR="0089167B">
        <w:rPr>
          <w:rFonts w:ascii="Times New Roman" w:hAnsi="Times New Roman" w:cs="Times New Roman"/>
          <w:sz w:val="28"/>
          <w:szCs w:val="28"/>
        </w:rPr>
        <w:t xml:space="preserve">. </w:t>
      </w:r>
      <w:r w:rsidR="00753B82" w:rsidRPr="0089167B">
        <w:rPr>
          <w:rFonts w:ascii="Times New Roman" w:hAnsi="Times New Roman" w:cs="Times New Roman"/>
          <w:sz w:val="28"/>
          <w:szCs w:val="28"/>
        </w:rPr>
        <w:t>Объектами внешней проверки являются: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 xml:space="preserve">- ГАБС </w:t>
      </w:r>
      <w:r w:rsidR="001976A8">
        <w:rPr>
          <w:rFonts w:ascii="Times New Roman" w:hAnsi="Times New Roman" w:cs="Times New Roman"/>
          <w:sz w:val="28"/>
          <w:szCs w:val="28"/>
        </w:rPr>
        <w:t>-</w:t>
      </w:r>
      <w:r w:rsidRPr="00F36E62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средств, главные администраторы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доходов бюджета, главные администраторы источников финансирования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дефицита бюджета, в том числе финансовый орган;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 xml:space="preserve">- подведомственные ГАБС </w:t>
      </w:r>
      <w:r w:rsidR="0089167B">
        <w:rPr>
          <w:rFonts w:ascii="Times New Roman" w:hAnsi="Times New Roman" w:cs="Times New Roman"/>
          <w:sz w:val="28"/>
          <w:szCs w:val="28"/>
        </w:rPr>
        <w:t xml:space="preserve">получатели, </w:t>
      </w:r>
      <w:r w:rsidRPr="00F36E62">
        <w:rPr>
          <w:rFonts w:ascii="Times New Roman" w:hAnsi="Times New Roman" w:cs="Times New Roman"/>
          <w:sz w:val="28"/>
          <w:szCs w:val="28"/>
        </w:rPr>
        <w:t>администраторы бюджетных средств (в случае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предприятия, организации, финансово-кредитные учреждения, если они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получают, перечисляют и используют средства бюджета муниципального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образования или используют муниципальную собственность либо управляют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ею, а также имеют предоставленные органами местного самоуправления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налоговые и иные льготы и преимущества (в случае необходимости).</w:t>
      </w:r>
    </w:p>
    <w:p w:rsidR="00753B82" w:rsidRPr="007830EF" w:rsidRDefault="007830EF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1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B82" w:rsidRPr="007830EF">
        <w:rPr>
          <w:rFonts w:ascii="Times New Roman" w:hAnsi="Times New Roman" w:cs="Times New Roman"/>
          <w:sz w:val="28"/>
          <w:szCs w:val="28"/>
        </w:rPr>
        <w:t>Внешняя проверка годового отчета может проводиться в форме выездной</w:t>
      </w:r>
      <w:r w:rsidR="00F36E62" w:rsidRPr="007830EF">
        <w:rPr>
          <w:rFonts w:ascii="Times New Roman" w:hAnsi="Times New Roman" w:cs="Times New Roman"/>
          <w:sz w:val="28"/>
          <w:szCs w:val="28"/>
        </w:rPr>
        <w:t xml:space="preserve"> (выход на объект) </w:t>
      </w:r>
      <w:r w:rsidR="00753B82" w:rsidRPr="007830EF">
        <w:rPr>
          <w:rFonts w:ascii="Times New Roman" w:hAnsi="Times New Roman" w:cs="Times New Roman"/>
          <w:sz w:val="28"/>
          <w:szCs w:val="28"/>
        </w:rPr>
        <w:t>проверки или камеральной</w:t>
      </w:r>
      <w:r w:rsidR="00B6082B" w:rsidRPr="007830EF">
        <w:rPr>
          <w:rFonts w:ascii="Times New Roman" w:hAnsi="Times New Roman" w:cs="Times New Roman"/>
          <w:sz w:val="28"/>
          <w:szCs w:val="28"/>
        </w:rPr>
        <w:t xml:space="preserve"> на основании документов, сведений (информации), предоставленных объектами проверки</w:t>
      </w:r>
      <w:r w:rsidR="00753B82" w:rsidRPr="007830EF">
        <w:rPr>
          <w:rFonts w:ascii="Times New Roman" w:hAnsi="Times New Roman" w:cs="Times New Roman"/>
          <w:sz w:val="28"/>
          <w:szCs w:val="28"/>
        </w:rPr>
        <w:t>.</w:t>
      </w:r>
    </w:p>
    <w:p w:rsidR="00753B82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1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B82" w:rsidRPr="009C52F3">
        <w:rPr>
          <w:rFonts w:ascii="Times New Roman" w:hAnsi="Times New Roman" w:cs="Times New Roman"/>
          <w:sz w:val="28"/>
          <w:szCs w:val="28"/>
        </w:rPr>
        <w:t>Информационную базу проведения внешней проверки годового отчета</w:t>
      </w:r>
      <w:r w:rsidR="00F36E62" w:rsidRPr="009C52F3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9C52F3">
        <w:rPr>
          <w:rFonts w:ascii="Times New Roman" w:hAnsi="Times New Roman" w:cs="Times New Roman"/>
          <w:sz w:val="28"/>
          <w:szCs w:val="28"/>
        </w:rPr>
        <w:t>составляют: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Положение о бюджетном процессе (иной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аналогичный документ);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Решение о бюджете муниципального образования на отчетный 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Решения о внесении изменений (дополнений) в бюджет муниципального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образования на отчетный 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требования к порядку составления бюджетной отчетности (в настоящее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время установлены Инструкцией № 191н);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иные нормативные правовые акты, разъяснения уполномоченного органа по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вопросам составления бюджетной отчетности;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нормативные правовые акты муниципального образования о введении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местных налогов, установлении налоговых ставок по ним;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нормативные правовые акты, касающиеся вопросов исполнения местного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бюджета в отчетном финансовом году (например, порядок использования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 местной администрации,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росписи, исполнения бюджета по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расходам, предоставления бюджетных кредитов поселениям и т.п.);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сводная бюджетная роспись на отчетный 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реестр расходных обязательств муниципального образования на отчетный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результаты контрольных мероприятий, относящиеся к средствам бюджета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муниципального образования отчетного финансового года;</w:t>
      </w:r>
    </w:p>
    <w:p w:rsidR="009C52F3" w:rsidRDefault="00753B82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результаты текущего контроля (мониторинга) за исполнением бюджета ГАБС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B82" w:rsidRPr="00FC78EB" w:rsidRDefault="009C52F3" w:rsidP="005069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F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3B82" w:rsidRPr="005D52F2">
        <w:rPr>
          <w:rFonts w:ascii="Times New Roman" w:hAnsi="Times New Roman" w:cs="Times New Roman"/>
          <w:b/>
          <w:sz w:val="28"/>
          <w:szCs w:val="28"/>
        </w:rPr>
        <w:t>Внешняя проверка годовой бюджетной отчетности главных</w:t>
      </w:r>
      <w:r w:rsidR="006831B9" w:rsidRPr="005D5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831B9" w:rsidRPr="005D52F2">
        <w:rPr>
          <w:rFonts w:ascii="Times New Roman" w:hAnsi="Times New Roman" w:cs="Times New Roman"/>
          <w:b/>
          <w:sz w:val="28"/>
          <w:szCs w:val="28"/>
        </w:rPr>
        <w:t>аторов бюджетных средств (ГАБС)</w:t>
      </w:r>
    </w:p>
    <w:p w:rsidR="006831B9" w:rsidRDefault="009C52F3" w:rsidP="00F50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B">
        <w:rPr>
          <w:rFonts w:ascii="Times New Roman" w:hAnsi="Times New Roman" w:cs="Times New Roman"/>
          <w:sz w:val="28"/>
          <w:szCs w:val="28"/>
        </w:rPr>
        <w:t xml:space="preserve">.1. </w:t>
      </w:r>
      <w:r w:rsidR="006831B9" w:rsidRPr="006831B9">
        <w:rPr>
          <w:rFonts w:ascii="Times New Roman" w:hAnsi="Times New Roman" w:cs="Times New Roman"/>
          <w:sz w:val="28"/>
          <w:szCs w:val="28"/>
        </w:rPr>
        <w:t>В</w:t>
      </w:r>
      <w:r w:rsidR="00753B82" w:rsidRPr="006831B9">
        <w:rPr>
          <w:rFonts w:ascii="Times New Roman" w:hAnsi="Times New Roman" w:cs="Times New Roman"/>
          <w:sz w:val="28"/>
          <w:szCs w:val="28"/>
        </w:rPr>
        <w:t>нешняя проверка годовой бюджетной отчетности ГАБС представляет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6831B9">
        <w:rPr>
          <w:rFonts w:ascii="Times New Roman" w:hAnsi="Times New Roman" w:cs="Times New Roman"/>
          <w:sz w:val="28"/>
          <w:szCs w:val="28"/>
        </w:rPr>
        <w:t>собой комплекс контрольных мероприятий по проверке полноты и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6831B9">
        <w:rPr>
          <w:rFonts w:ascii="Times New Roman" w:hAnsi="Times New Roman" w:cs="Times New Roman"/>
          <w:sz w:val="28"/>
          <w:szCs w:val="28"/>
        </w:rPr>
        <w:t>достоверности бюджетной отчетности ГАБС, её соответствия требованиям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6831B9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B9" w:rsidRPr="00B6082B" w:rsidRDefault="009C52F3" w:rsidP="00B6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B" w:rsidRPr="00B6082B">
        <w:rPr>
          <w:rFonts w:ascii="Times New Roman" w:hAnsi="Times New Roman" w:cs="Times New Roman"/>
          <w:sz w:val="28"/>
          <w:szCs w:val="28"/>
        </w:rPr>
        <w:t xml:space="preserve">.2. </w:t>
      </w:r>
      <w:r w:rsidR="00753B82" w:rsidRPr="00B6082B">
        <w:rPr>
          <w:rFonts w:ascii="Times New Roman" w:hAnsi="Times New Roman" w:cs="Times New Roman"/>
          <w:sz w:val="28"/>
          <w:szCs w:val="28"/>
        </w:rPr>
        <w:t>В части установления полноты бюджетной отчетности ГАБС и ее соответствия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требованиям нормативных правовых актов необходимо провести анализ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представленной к проверке отчетности ГАБС на предмет её соответствия по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составу, структуре и заполнению (содержанию) требованиям Бюджетного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кодекса Российской Федерации, Положения о бюджетном процессе, Инструкции № 191н, Указаниям о порядк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е </w:t>
      </w:r>
      <w:r w:rsidR="00753B82" w:rsidRPr="00B6082B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Федерации.</w:t>
      </w:r>
    </w:p>
    <w:p w:rsidR="00753B82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B82" w:rsidRPr="009C52F3">
        <w:rPr>
          <w:rFonts w:ascii="Times New Roman" w:hAnsi="Times New Roman" w:cs="Times New Roman"/>
          <w:sz w:val="28"/>
          <w:szCs w:val="28"/>
        </w:rPr>
        <w:t>Методология проведения внешней проверки годовой бюджетной</w:t>
      </w:r>
      <w:r w:rsidR="00B6082B" w:rsidRPr="009C52F3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9C52F3">
        <w:rPr>
          <w:rFonts w:ascii="Times New Roman" w:hAnsi="Times New Roman" w:cs="Times New Roman"/>
          <w:sz w:val="28"/>
          <w:szCs w:val="28"/>
        </w:rPr>
        <w:t>отчётности ГАБС</w:t>
      </w:r>
      <w:r w:rsidR="006831B9" w:rsidRPr="009C52F3">
        <w:rPr>
          <w:rFonts w:ascii="Times New Roman" w:hAnsi="Times New Roman" w:cs="Times New Roman"/>
          <w:sz w:val="28"/>
          <w:szCs w:val="28"/>
        </w:rPr>
        <w:t>.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Основными приёмами финансового анализа по данным бюджетной отчётности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являются: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чтение отчётности,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горизонтальный анализ,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вертикальный анализ.</w:t>
      </w:r>
    </w:p>
    <w:p w:rsidR="00753B82" w:rsidRPr="00C452E1" w:rsidRDefault="006831B9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2B">
        <w:rPr>
          <w:rFonts w:ascii="Times New Roman" w:hAnsi="Times New Roman" w:cs="Times New Roman"/>
          <w:sz w:val="28"/>
          <w:szCs w:val="28"/>
        </w:rPr>
        <w:t>Чтение отчётности</w:t>
      </w:r>
      <w:r w:rsidR="00753B82" w:rsidRPr="006831B9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информационное ознакомление с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финансовым положением субъекта анализа по данным баланса, сопутствующим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формам и приложениям к ним. По данным бюджетной отчётности можно судить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об имущественном положении организации, характере его деятельности,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соотношении средств по их видам в составе активов и т.д. В процессе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чтения отчётности важно рассматривать показатели разных форм отчётности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в их взаимосвязи.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Наиболее общее представление об имевших место качественных изменениях в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структуре средств и их источников, динамике этих изменений можно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получить с помощью горизонтального и вертикального анализа данных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бюджетной отчётности.</w:t>
      </w:r>
    </w:p>
    <w:p w:rsidR="00753B82" w:rsidRPr="00C452E1" w:rsidRDefault="00C452E1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6082B">
        <w:rPr>
          <w:rFonts w:ascii="Times New Roman" w:hAnsi="Times New Roman" w:cs="Times New Roman"/>
          <w:sz w:val="28"/>
          <w:szCs w:val="28"/>
        </w:rPr>
        <w:t>горизонтального анализа</w:t>
      </w:r>
      <w:r w:rsidR="00753B82" w:rsidRPr="00C452E1">
        <w:rPr>
          <w:rFonts w:ascii="Times New Roman" w:hAnsi="Times New Roman" w:cs="Times New Roman"/>
          <w:sz w:val="28"/>
          <w:szCs w:val="28"/>
        </w:rPr>
        <w:t xml:space="preserve"> осуществляется сравнение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позиции отчётности с соответствующей позицией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(</w:t>
      </w:r>
      <w:r w:rsidR="00753B82" w:rsidRPr="00C452E1">
        <w:rPr>
          <w:rFonts w:ascii="Times New Roman" w:hAnsi="Times New Roman" w:cs="Times New Roman"/>
          <w:sz w:val="28"/>
          <w:szCs w:val="28"/>
        </w:rPr>
        <w:t>предыдущего года). Кроме того, в ходе такого анализа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абсолютные и относительные изменения величин различных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отчётности за определённый период и построение аналитических таблиц,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которых абсолютные балансовые показатели дополняются относительными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темпами роста. Он позволяет выявить тенденции изменения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показателей, входящих в состав отчётности.</w:t>
      </w:r>
    </w:p>
    <w:p w:rsidR="00753B82" w:rsidRPr="001976A8" w:rsidRDefault="00C452E1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B6082B">
        <w:rPr>
          <w:rFonts w:ascii="Times New Roman" w:hAnsi="Times New Roman" w:cs="Times New Roman"/>
          <w:sz w:val="28"/>
          <w:szCs w:val="28"/>
        </w:rPr>
        <w:t>вертикального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- вычисление удельного веса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статей в итоге отчёта, выяснение структуры. Вертикальный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заключается в определении структуры итоговых финансовых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выявлением влияния каждой позиции отчётности на результат в целом.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процессе такого анализа целесообразно использование не только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бюджетной отчётности, но и актов проверок, входящих и исходящих писем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вопросам финансово-хозяйственной деятельности, плановой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данных внутренних отчётов. Ознакомление с ними позволяет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53B82" w:rsidRPr="001976A8">
        <w:rPr>
          <w:rFonts w:ascii="Times New Roman" w:hAnsi="Times New Roman" w:cs="Times New Roman"/>
          <w:sz w:val="28"/>
          <w:szCs w:val="28"/>
        </w:rPr>
        <w:t>материал для всестороннего изучения специфики</w:t>
      </w:r>
      <w:r w:rsidRPr="001976A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1976A8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753B82" w:rsidRPr="001976A8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6A8">
        <w:rPr>
          <w:rFonts w:ascii="Times New Roman" w:hAnsi="Times New Roman" w:cs="Times New Roman"/>
          <w:sz w:val="28"/>
          <w:szCs w:val="28"/>
        </w:rPr>
        <w:t>Приёмы проведения анализа бюджетной отчётности конкретного ГАБС, а также</w:t>
      </w:r>
      <w:r w:rsidR="00C452E1" w:rsidRPr="001976A8">
        <w:rPr>
          <w:rFonts w:ascii="Times New Roman" w:hAnsi="Times New Roman" w:cs="Times New Roman"/>
          <w:sz w:val="28"/>
          <w:szCs w:val="28"/>
        </w:rPr>
        <w:t xml:space="preserve"> </w:t>
      </w:r>
      <w:r w:rsidRPr="001976A8">
        <w:rPr>
          <w:rFonts w:ascii="Times New Roman" w:hAnsi="Times New Roman" w:cs="Times New Roman"/>
          <w:sz w:val="28"/>
          <w:szCs w:val="28"/>
        </w:rPr>
        <w:t xml:space="preserve">вид проверки определяются сотрудником </w:t>
      </w:r>
      <w:r w:rsidR="001976A8" w:rsidRPr="001976A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452E1" w:rsidRPr="001976A8">
        <w:rPr>
          <w:rFonts w:ascii="Times New Roman" w:hAnsi="Times New Roman" w:cs="Times New Roman"/>
          <w:sz w:val="28"/>
          <w:szCs w:val="28"/>
        </w:rPr>
        <w:t>.</w:t>
      </w:r>
    </w:p>
    <w:p w:rsidR="00C452E1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6A8">
        <w:rPr>
          <w:rFonts w:ascii="Times New Roman" w:hAnsi="Times New Roman" w:cs="Times New Roman"/>
          <w:sz w:val="28"/>
          <w:szCs w:val="28"/>
        </w:rPr>
        <w:t xml:space="preserve">2.4. </w:t>
      </w:r>
      <w:r w:rsidR="00753B82" w:rsidRPr="001976A8">
        <w:rPr>
          <w:rFonts w:ascii="Times New Roman" w:hAnsi="Times New Roman" w:cs="Times New Roman"/>
          <w:sz w:val="28"/>
          <w:szCs w:val="28"/>
        </w:rPr>
        <w:t>Основны</w:t>
      </w:r>
      <w:r w:rsidR="00753B82" w:rsidRPr="009C52F3">
        <w:rPr>
          <w:rFonts w:ascii="Times New Roman" w:hAnsi="Times New Roman" w:cs="Times New Roman"/>
          <w:sz w:val="28"/>
          <w:szCs w:val="28"/>
        </w:rPr>
        <w:t>е этапы внешней проверки показателей годовой бюджетной</w:t>
      </w:r>
      <w:r w:rsidR="00C452E1" w:rsidRPr="009C52F3">
        <w:rPr>
          <w:rFonts w:ascii="Times New Roman" w:hAnsi="Times New Roman" w:cs="Times New Roman"/>
          <w:sz w:val="28"/>
          <w:szCs w:val="28"/>
        </w:rPr>
        <w:t xml:space="preserve"> </w:t>
      </w:r>
      <w:r w:rsidR="00B6082B" w:rsidRPr="009C52F3">
        <w:rPr>
          <w:rFonts w:ascii="Times New Roman" w:hAnsi="Times New Roman" w:cs="Times New Roman"/>
          <w:sz w:val="28"/>
          <w:szCs w:val="28"/>
        </w:rPr>
        <w:t>отчетности ГАБС:</w:t>
      </w:r>
    </w:p>
    <w:p w:rsidR="00753B82" w:rsidRPr="00C452E1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753B82" w:rsidRPr="00C452E1">
        <w:rPr>
          <w:rFonts w:ascii="Times New Roman" w:hAnsi="Times New Roman" w:cs="Times New Roman"/>
          <w:sz w:val="28"/>
          <w:szCs w:val="28"/>
        </w:rPr>
        <w:t>Проверка соответствия состава бюджетной отчетности ГАБС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требованиям Бюджетного кодекса Российской Федерации, Положения о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бюджетном процессе в муниципальном образовании.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Согласно пункту 2 статьи 264.1 Бюджетного кодекса Российской Федерации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бюджетная отчетность включает в себя: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753B82" w:rsidRPr="00A83D78" w:rsidRDefault="00753B82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78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753B82" w:rsidRPr="00A83D78" w:rsidRDefault="00753B82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78">
        <w:rPr>
          <w:rFonts w:ascii="Times New Roman" w:hAnsi="Times New Roman" w:cs="Times New Roman"/>
          <w:sz w:val="28"/>
          <w:szCs w:val="28"/>
        </w:rPr>
        <w:t>В случае представления бюджетной отчетности не в полном объеме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Pr="00A83D78">
        <w:rPr>
          <w:rFonts w:ascii="Times New Roman" w:hAnsi="Times New Roman" w:cs="Times New Roman"/>
          <w:sz w:val="28"/>
          <w:szCs w:val="28"/>
        </w:rPr>
        <w:t>устанавливаются причины.</w:t>
      </w:r>
    </w:p>
    <w:p w:rsidR="00753B82" w:rsidRPr="00A83D78" w:rsidRDefault="009C52F3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83D78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83D78">
        <w:rPr>
          <w:rFonts w:ascii="Times New Roman" w:hAnsi="Times New Roman" w:cs="Times New Roman"/>
          <w:sz w:val="28"/>
          <w:szCs w:val="28"/>
        </w:rPr>
        <w:t>.2. Проверка соответствия бюджетной отчетности ГАБС требованиям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составления сводной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бюджетной отчетности ГАБС на основании представленной им бюджетной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отчетности подведомственными получателями (распорядителями) бюджетных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средств, администраторами доходов бюджета, администраторами источников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753B82" w:rsidRPr="00A83D78" w:rsidRDefault="00753B82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78">
        <w:rPr>
          <w:rFonts w:ascii="Times New Roman" w:hAnsi="Times New Roman" w:cs="Times New Roman"/>
          <w:sz w:val="28"/>
          <w:szCs w:val="28"/>
        </w:rPr>
        <w:t>Проверка может быть проведена как по всем ГАБС и их подведомственным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Pr="00A83D78">
        <w:rPr>
          <w:rFonts w:ascii="Times New Roman" w:hAnsi="Times New Roman" w:cs="Times New Roman"/>
          <w:sz w:val="28"/>
          <w:szCs w:val="28"/>
        </w:rPr>
        <w:t>учреждениям, так и выборочно (по отдельным ГАБС и их подведомственным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Pr="00A83D78">
        <w:rPr>
          <w:rFonts w:ascii="Times New Roman" w:hAnsi="Times New Roman" w:cs="Times New Roman"/>
          <w:sz w:val="28"/>
          <w:szCs w:val="28"/>
        </w:rPr>
        <w:t>учреждениям).</w:t>
      </w:r>
    </w:p>
    <w:p w:rsidR="00753B82" w:rsidRPr="00753B82" w:rsidRDefault="009C52F3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83D78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83D78">
        <w:rPr>
          <w:rFonts w:ascii="Times New Roman" w:hAnsi="Times New Roman" w:cs="Times New Roman"/>
          <w:sz w:val="28"/>
          <w:szCs w:val="28"/>
        </w:rPr>
        <w:t>.3. Проверка соответствия бюджетной отчетности ГАБС требованиям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Инструкции № 191н, Указаниям о порядке применения бюджетной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классификации Российской Федерации, действовавшим в отчетном периоде,</w:t>
      </w:r>
      <w:r w:rsidR="00A83D78">
        <w:rPr>
          <w:rFonts w:ascii="Times New Roman" w:hAnsi="Times New Roman" w:cs="Times New Roman"/>
          <w:sz w:val="28"/>
          <w:szCs w:val="28"/>
        </w:rPr>
        <w:t xml:space="preserve"> иным нормативным документам.</w:t>
      </w:r>
    </w:p>
    <w:p w:rsidR="00753B82" w:rsidRPr="00241FC4" w:rsidRDefault="009C52F3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241FC4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241FC4">
        <w:rPr>
          <w:rFonts w:ascii="Times New Roman" w:hAnsi="Times New Roman" w:cs="Times New Roman"/>
          <w:sz w:val="28"/>
          <w:szCs w:val="28"/>
        </w:rPr>
        <w:t>.3.1. Отчет об исполнении бюджета главного распорядителя,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распорядителя, получателя бюджетных средств, главного администратора,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бюджета, главного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администратора, администратора доходов бюджета (далее – Отчет об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исполнении бюджета ГАБС, отчет).</w:t>
      </w:r>
    </w:p>
    <w:p w:rsidR="00753B82" w:rsidRPr="00241FC4" w:rsidRDefault="00753B82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В соответствии с пунктом 55 Инструкции № 191н в графе 4 «Утвержденные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бюджетные назначения» Отчета об исполнении бюджета ГАБС должны быть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отражены:</w:t>
      </w:r>
    </w:p>
    <w:p w:rsidR="00753B82" w:rsidRPr="00241FC4" w:rsidRDefault="00753B82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- по разделу «Доходы бюджета» – утвержденные решением о бюджете плановые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показатели на отчетный финансовый год, закрепленные за главным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администратором доходов бюджета;</w:t>
      </w:r>
    </w:p>
    <w:p w:rsidR="00753B82" w:rsidRPr="00241FC4" w:rsidRDefault="00753B82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- по разделу «Расходы бюджета» – сумма утвержденных (доведенных)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бюджетных ассигнований главному распорядителю (распорядителю,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получателю) бюджетных средств на отчетный финансовый год согласно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утвержденной бюджетной росписи с учетом последующих изменений,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оформленных в установленном порядке на отчетную дату;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- по разделу «Источники финансирования дефицита бюджета» – сумма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утвержденных главному администратору (администратору) источников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финансирования дефицита бюджета на отчетный финансовый год решением 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бюджете плановых показателей по закрепленным за ним поступлениям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и (или) сумма бюджетных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ассигнований по выплатам источников финансирования дефицита бюджета,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утвержденных (доведенных) на отчетный финансовый год согласно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утвержденной сводной бюджетной росписи (бюджетной росписи), с учетом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последующих изменений, оформленных в установленном порядке.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графе 5 «Лимиты бюджетных обязательств» раздела «Расходы бюджета»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отчета должны быть отражены суммы утвержденных (доведенных) ГАБС лимитов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бюджетных обязательств в объеме годовых назначений текущего финансового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года, с учетом последующих изменений, оформленных в установленном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порядке на отчетную дату (пункт 56 Инструкции №191н).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в соответствии с Инструкцией №191н по соответствующим разделам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Отчета об исполнении бюджета ГАБС должны быть заполнены графы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«Исполнено» и «Неисполненные назначения».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При проведении проверки заполнения графы «Неисполненные назначения»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Отчета об исполнении бюджета ГАБС необходимо провести анализ объемов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неисполненных в отчетном году назначений по ассигнованиям и лимитам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бюджетных обязательств в разрезе разделов, целевых статей и кодов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 установить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причины их неосвоения (например: поступление средств в конце отчетного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года; заявительный характер предоставления средств; экономия средств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результате проведения конкурсных процедур; отсутствие необходимых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нормативных документов, определяющих порядок использования бюджетных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средств; несвоевременность представления исполнителями работ документов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для окончательного расчета; длительность сроков заключения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контрактов; необходимость резервирования денежных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средств для обеспечения выполнения возложенных функций).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в ходе проверки Отчета об исполнении бюджета ГАБС следует провести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анализ соответствия показателей Отчета показателям, отраженным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Сведениях об исполнении бюджета (ф. 0503164), являющихся составной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частью Пояснительной записки.</w:t>
      </w:r>
    </w:p>
    <w:p w:rsidR="00753B82" w:rsidRP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.3.2. Баланс главного распорядителя, распорядителя, получателя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администратора, администратора источников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финансирования дефицита бюджета, главного администратора, администратора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доходов бюджета (далее </w:t>
      </w:r>
      <w:r w:rsidR="001976A8">
        <w:rPr>
          <w:rFonts w:ascii="Times New Roman" w:hAnsi="Times New Roman" w:cs="Times New Roman"/>
          <w:sz w:val="28"/>
          <w:szCs w:val="28"/>
        </w:rPr>
        <w:t>-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Баланс).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соответствии с пунктом 13 Инструкции №191н показатели должны быть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отражены в Балансе в разрезе бюджетной деятельности, приносящей доход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деятельности, средств во временном распоряжении и итогового показателя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на начало года и конец отчетного периода.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Согласно пункту 14 Инструкции №191н в графе «На начало года» Баланса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должны быть отражены данные о стоимости активов, обязательств,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финансовом результате на начало года (вступительный баланс),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соответствующие данным графы «На конец отчетного периода» предыдущего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 (заключительный баланс).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 вступительного баланса данным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заключительного баланса необходимо установить объемы расхождений 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причины, их обусловившие (например: реорганизация (слияние,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присоединение, разделение, выделение, преобразование), ликвидация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бюджетных учреждений; переоценка стоимости активов, проведенная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Федерации, и т.д.).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Объемы выявленных расхождений должны соответствовать данным, указанным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Сведениях об изменении остатков валюты баланса (ф. 0503173), являющихся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составной частью Пояснительной записки.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графе «На конец отчетного периода» Баланса должны быть отражены данные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 стоимости активов и обязательств, финансовом результате на 1 января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года, следующего за отчетным, с учетом проведенных 31 декабря при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завершении финансового года заключительных оборотов по счетам бюджетного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учета (пункт 15 Инструкции №191н).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Показатели указанных разделов Баланса должны быть заполнены с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соблюдением требований пунктов 16-19 Инструкции №191н.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в составе Баланса должна быть сформирована Справка о наличии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имущества и обязательств на забалансовых счетах (пункт 20 Инструкции №191н).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ходе проверки Баланса необходимо провести анализ объемов дебиторской 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кредиторской задолженности, ее структуры и динамики.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Объемы дебиторской и кредиторской задолженности, отраженные в Балансе,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должны быть тождественны аналогичным показателям, указанным в Сведениях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 дебиторской и кредиторской задолженности (ф. 0503169), являющихся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составной частью Пояснительной записки.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При проведении анализа дебиторской и кредиторской задолженности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обязательном порядке следует установить причины возникновения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задолженности (например, несвоевременное исполнение договорных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обязательств, отсутствие первичных документов и т.д.).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необходимо проанализировать даты возникновения дебиторской 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кредиторской задолженности (для определения объемов просроченной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задолженности) и меры, принимаемые по ее снижению.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Кроме того, следует проанализировать изменение объема нереальной к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взысканию дебиторской задолженности в отчетном году, определить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обоснованность ее возникновения.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необходимо определить объем расходов (переплат), произведенных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ГАБС в отчетном году в счет платежей следующего финансового года.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Кроме того, следует установить, принимались ли в отчетном году ГАБС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обязательства сверх доведенных ему лимитов.</w:t>
      </w:r>
    </w:p>
    <w:p w:rsidR="00753B82" w:rsidRP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.3.3. Отчет о финансовых результатах деятельности.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соответствии с пунктом 93 Инструкции №191н показатели должны быть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отражены в Отчете о финансовых результатах деятельности в разрезе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бюджетной деятельности, приносящей доход деятельности, средств во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временном распоряжении и итогового показателя.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Указанный отчет должен быть сформирован ГАБС с соблюдением требований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пунктов 94-97 Инструкции №191н.</w:t>
      </w:r>
    </w:p>
    <w:p w:rsid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.3.4. Отчет о движении денежных средств формируется только финансовым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органом.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этой связи особенности его формирования указаны в пункте 5.2.3.4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раздела 5 «Внешняя проверка годового Отчета об исполнении бюджета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муниципального образования» настоящих Методических рекомендаций.</w:t>
      </w:r>
    </w:p>
    <w:p w:rsidR="00753B82" w:rsidRP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.3.5. Пояснительная записка.</w:t>
      </w:r>
    </w:p>
    <w:p w:rsidR="00E943CC" w:rsidRDefault="00E943CC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сформирована в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 и составе соответствующей требованиям пункта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152 Инструкции №191н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Порядок оформления таблиц и приложений Пояснительной записки установлен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пунктами 153-174 Инструкции №191н.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1 «Организационная структура субъекта бюджетной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отчетности» Пояснительной записки необходимо проверить соответствие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данных, отраженных в сведениях об основных направлениях деятельности и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сведениях о количестве подведомственных учреждений, Положению о ГАБС.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3 «Анализ отчета об исполнении бюджета субъектом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бюджетной отчетности» Пояснительной записки необходимо обратить внимание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на «Сведения об изменениях бюджетной росписи главного распорядителя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 источников финансирования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дефицита бюджета» (ф. 0503163).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В указанной форме должны быть отражены обобщенные за отчетный период данные: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об изменениях бюджетной росписи ГАБС по кодам бюджетной классификации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Российской Федерации, по которым в отчетном периоде осуществлялись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изменения;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об объемах внесенных изменений и их причинах (со ссылкой на правовые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основания их внесения).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На основе указанных данных должен быть проведен анализ внесенных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изменений в бюджетную роспись ГАБС и сделан вывод об их обоснованности.</w:t>
      </w:r>
    </w:p>
    <w:p w:rsid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Также при анализе указанного раздела Пояснительной записки следует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обратить внимание на «Сведения об исполнении бюджета» (ф. 0503164).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Необходимо проверить заполнение данной формы по показателям, исполнение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по которым составило менее 95% от утвержденных годовых назначений.</w:t>
      </w:r>
    </w:p>
    <w:p w:rsid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Показатели, отраженные в указанной форме, должны соответствовать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аналогичным показателям, указанным в Отчете об исполнении бюджета ГАБС.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4 «Анализ показателей финансовой отчетности субъекта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бюджетной отчетности» Пояснительной записки необходимо обратить внимание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на «Сведения по дебиторской и кредиторской задолженности» (ф. 0503169).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Показатели, отраженные в ф. 0503169, должны соответствовать аналогичным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показателям Баланса.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Также при анализе указанного раздела следует обратить внимание 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«Сведения об изменении остатков валюты баланса» (ф. 0503173).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Сведения об изменении остатков валюты баланса должны содержать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обобщенные за отчетный период данные об изменении показателей на начало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отчетного года вступительного баланса ГАБС по сравнению с данными 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конец предыдущего отчетного года заключительного баланса с указанием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причин изменения.</w:t>
      </w:r>
    </w:p>
    <w:p w:rsid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5 «Прочие вопросы деятельности субъекта бюджетной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отчетности» Пояснительной записки необходимо обратить внимание 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таблицу 5 «Сведения о результатах мероприятий внутреннего контроля».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Указанная таблица должна содержать данные: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 проведенных в отчетном году мероприятиях внутреннего контроля и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выявленных в ходе их проведения нарушениях;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 мерах, принятых по устранению выявленных нарушений.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Также необходимо обратить внимание на таблицу 7 «Сведения о результатах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внешних контрольных мероприятий», в которой должна быть указана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753B82" w:rsidRPr="00E943CC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дата, по состоянию на которую проводилась проверка;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наименование контрольного органа, осуществлявшего проверку ГАБС;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тема проведенной проверки и кратко ее результаты со ссылкой на номер 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дату акта проверки;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меры, принятые контрольным органом и ГАБС по устранению выявленных в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ходе проверки нарушений.</w:t>
      </w:r>
    </w:p>
    <w:p w:rsidR="00753B82" w:rsidRPr="00300D05" w:rsidRDefault="009C52F3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300D05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300D05">
        <w:rPr>
          <w:rFonts w:ascii="Times New Roman" w:hAnsi="Times New Roman" w:cs="Times New Roman"/>
          <w:sz w:val="28"/>
          <w:szCs w:val="28"/>
        </w:rPr>
        <w:t>.4. Проверка контрольных соотношений между показателями форм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бюджетной отчетности, установленных письмами Федерального казначейства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для главного распорядителя, распорядителя и получателя средств бюджета.</w:t>
      </w:r>
    </w:p>
    <w:p w:rsidR="00753B82" w:rsidRPr="005D52F2" w:rsidRDefault="009C52F3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300D05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300D05">
        <w:rPr>
          <w:rFonts w:ascii="Times New Roman" w:hAnsi="Times New Roman" w:cs="Times New Roman"/>
          <w:sz w:val="28"/>
          <w:szCs w:val="28"/>
        </w:rPr>
        <w:t xml:space="preserve">.5. По итогам </w:t>
      </w:r>
      <w:r w:rsidR="00753B82" w:rsidRPr="005D52F2">
        <w:rPr>
          <w:rFonts w:ascii="Times New Roman" w:hAnsi="Times New Roman" w:cs="Times New Roman"/>
          <w:sz w:val="28"/>
          <w:szCs w:val="28"/>
        </w:rPr>
        <w:t>внешней проверки показателей годовой бюджетной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отчетности ГАБС должен быть сделан вывод об их достоверности или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недостоверности.</w:t>
      </w:r>
    </w:p>
    <w:p w:rsidR="005D69B4" w:rsidRPr="005D52F2" w:rsidRDefault="009C52F3" w:rsidP="00FB4877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D52F2">
        <w:rPr>
          <w:rFonts w:ascii="Times New Roman" w:hAnsi="Times New Roman" w:cs="Times New Roman"/>
          <w:sz w:val="28"/>
          <w:szCs w:val="28"/>
        </w:rPr>
        <w:t>2</w:t>
      </w:r>
      <w:r w:rsidR="00FB4877" w:rsidRPr="005D52F2">
        <w:rPr>
          <w:rFonts w:ascii="Times New Roman" w:hAnsi="Times New Roman" w:cs="Times New Roman"/>
          <w:sz w:val="28"/>
          <w:szCs w:val="28"/>
        </w:rPr>
        <w:t>.5.</w:t>
      </w:r>
      <w:r w:rsidR="00753B82" w:rsidRPr="005D52F2">
        <w:rPr>
          <w:rFonts w:ascii="Times New Roman" w:hAnsi="Times New Roman" w:cs="Times New Roman"/>
          <w:sz w:val="28"/>
          <w:szCs w:val="28"/>
        </w:rPr>
        <w:t xml:space="preserve">На основе проверки бюджетной отчетности ГАБС готовятся </w:t>
      </w:r>
      <w:r w:rsidR="005D69B4" w:rsidRPr="005D52F2">
        <w:rPr>
          <w:rFonts w:ascii="Times New Roman" w:hAnsi="Times New Roman" w:cs="Times New Roman"/>
          <w:sz w:val="28"/>
          <w:szCs w:val="28"/>
        </w:rPr>
        <w:t>акты</w:t>
      </w:r>
      <w:r w:rsidR="002E0A96" w:rsidRPr="005D52F2">
        <w:rPr>
          <w:rFonts w:ascii="Times New Roman" w:hAnsi="Times New Roman" w:cs="Times New Roman"/>
          <w:sz w:val="28"/>
          <w:szCs w:val="28"/>
        </w:rPr>
        <w:t xml:space="preserve"> (заключения) </w:t>
      </w:r>
      <w:r w:rsidR="00753B82" w:rsidRPr="005D52F2">
        <w:rPr>
          <w:rFonts w:ascii="Times New Roman" w:hAnsi="Times New Roman" w:cs="Times New Roman"/>
          <w:sz w:val="28"/>
          <w:szCs w:val="28"/>
        </w:rPr>
        <w:t>по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результатам внешней проверки бюджетной отчетности ГАБС (по каждому ГАБС)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543FC" w:rsidRPr="005D52F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D69B4" w:rsidRPr="005D52F2">
        <w:rPr>
          <w:rFonts w:ascii="Times New Roman" w:hAnsi="Times New Roman" w:cs="Times New Roman"/>
          <w:sz w:val="28"/>
          <w:szCs w:val="28"/>
        </w:rPr>
        <w:t>6</w:t>
      </w:r>
      <w:r w:rsidR="00C543FC" w:rsidRPr="005D52F2">
        <w:rPr>
          <w:rFonts w:ascii="Times New Roman" w:hAnsi="Times New Roman" w:cs="Times New Roman"/>
          <w:sz w:val="28"/>
          <w:szCs w:val="28"/>
        </w:rPr>
        <w:t xml:space="preserve"> к</w:t>
      </w:r>
      <w:r w:rsidR="005D69B4" w:rsidRPr="005D52F2">
        <w:rPr>
          <w:rFonts w:ascii="Times New Roman" w:hAnsi="Times New Roman" w:cs="Times New Roman"/>
          <w:sz w:val="28"/>
          <w:szCs w:val="28"/>
        </w:rPr>
        <w:t xml:space="preserve"> Стандарту  внешнего муниципального финансового контроля «Общие правила проведения контрольного мероприятия».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 xml:space="preserve">В </w:t>
      </w:r>
      <w:r w:rsidR="005D69B4" w:rsidRPr="005D52F2">
        <w:rPr>
          <w:rFonts w:ascii="Times New Roman" w:hAnsi="Times New Roman" w:cs="Times New Roman"/>
          <w:sz w:val="28"/>
          <w:szCs w:val="28"/>
        </w:rPr>
        <w:t>актах</w:t>
      </w:r>
      <w:r w:rsidRPr="005D52F2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быть отражено: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плановое и фактическое исполнение расходов ГАБС (в разрезе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функциональной классификации расходов), в том числе за счет доходов от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информация о наличии/отсутствии фактов неполноты бюджетной отчетности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 указанием причин и последствий;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информация о наличии/отсутствии фактов недостоверности показателей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бюджетной отчетности; о наличии/отсутствии фактов, способных негативно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повлиять на достоверность отчетности;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информация о наличии/отсутствии фактов нарушения бюджетного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законодательства с указанием причин и последствий;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информация об исполнении долгосрочных муниципальных целевых программ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(в разрезе финансового исполнения и достижения натуральных показателей);</w:t>
      </w:r>
    </w:p>
    <w:p w:rsidR="00A7197C" w:rsidRPr="005D52F2" w:rsidRDefault="00753B82" w:rsidP="005069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информация об эффективности и результативности использования бюджетных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средств ГАБС.</w:t>
      </w:r>
    </w:p>
    <w:p w:rsidR="00A7197C" w:rsidRPr="005D52F2" w:rsidRDefault="00A7197C" w:rsidP="009C52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82" w:rsidRPr="005D52F2" w:rsidRDefault="009C52F3" w:rsidP="005069B0">
      <w:pPr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D52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4877" w:rsidRPr="005D52F2">
        <w:rPr>
          <w:rFonts w:ascii="Times New Roman" w:hAnsi="Times New Roman" w:cs="Times New Roman"/>
          <w:b/>
          <w:sz w:val="28"/>
          <w:szCs w:val="28"/>
        </w:rPr>
        <w:t>В</w:t>
      </w:r>
      <w:r w:rsidR="00B6082B" w:rsidRPr="005D52F2">
        <w:rPr>
          <w:rFonts w:ascii="Times New Roman" w:hAnsi="Times New Roman" w:cs="Times New Roman"/>
          <w:b/>
          <w:sz w:val="28"/>
          <w:szCs w:val="28"/>
        </w:rPr>
        <w:t>нешн</w:t>
      </w:r>
      <w:r w:rsidR="00FB4877" w:rsidRPr="005D52F2">
        <w:rPr>
          <w:rFonts w:ascii="Times New Roman" w:hAnsi="Times New Roman" w:cs="Times New Roman"/>
          <w:b/>
          <w:sz w:val="28"/>
          <w:szCs w:val="28"/>
        </w:rPr>
        <w:t>яя</w:t>
      </w:r>
      <w:r w:rsidR="00300D05" w:rsidRPr="005D52F2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FB4877" w:rsidRPr="005D52F2">
        <w:rPr>
          <w:rFonts w:ascii="Times New Roman" w:hAnsi="Times New Roman" w:cs="Times New Roman"/>
          <w:b/>
          <w:sz w:val="28"/>
          <w:szCs w:val="28"/>
        </w:rPr>
        <w:t>а</w:t>
      </w:r>
      <w:r w:rsidR="00300D05" w:rsidRPr="005D52F2">
        <w:rPr>
          <w:rFonts w:ascii="Times New Roman" w:hAnsi="Times New Roman" w:cs="Times New Roman"/>
          <w:b/>
          <w:sz w:val="28"/>
          <w:szCs w:val="28"/>
        </w:rPr>
        <w:t xml:space="preserve"> годового отчета</w:t>
      </w:r>
      <w:r w:rsidR="00B6082B" w:rsidRPr="005D52F2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753B82" w:rsidRPr="005D52F2" w:rsidRDefault="009C52F3" w:rsidP="00B6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B6082B" w:rsidRPr="005D52F2">
        <w:rPr>
          <w:rFonts w:ascii="Times New Roman" w:hAnsi="Times New Roman" w:cs="Times New Roman"/>
          <w:sz w:val="28"/>
          <w:szCs w:val="28"/>
        </w:rPr>
        <w:t xml:space="preserve">.1. </w:t>
      </w:r>
      <w:r w:rsidR="00753B82" w:rsidRPr="005D52F2">
        <w:rPr>
          <w:rFonts w:ascii="Times New Roman" w:hAnsi="Times New Roman" w:cs="Times New Roman"/>
          <w:sz w:val="28"/>
          <w:szCs w:val="28"/>
        </w:rPr>
        <w:t>Подготовка к проведению внешней проверки годового отчета включает в себя:</w:t>
      </w:r>
    </w:p>
    <w:p w:rsidR="00300D05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сбор и изучение нормативной правовой базы, на основании которой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осуществлялся бюджетный процесс в отчетном году;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подготовка запросов и изучение полученной информации.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Для проведения внешней проверки может быть запрошена следующая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информация (источники получения информации – финансовый орган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муниципального образования, орган, осуществляющий полномочия по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управлению муниципальным имуществом, межрайонная налоговая инспекция):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Баланс по поступлениям и выбытиям бюджетных средств (ф. 0503140);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Отчет о кассовом поступлении и выбытии бюджетных средств (ф. 0503124);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отчет об использовании ассигнований резервного фонда местной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администрации за отчетный год;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сведения об остатках средств на едином счете бюджета муниципального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образования на начало и конец отчетного периода;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сведения о мероприятиях, проведенных в отчетном году и направленных на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увеличение объемов поступлений в доходную часть бюджета муниципального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00D05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сведения о муниципальном долге на начало и конец отчетного года, в том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числе сведения об объемах предоставленных (выданных) гарантий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муниципального образования на начало и конец отчетного кода в разрезе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получателей гарантий с указанием основания представления гарантии,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наименования получателя гарантии, даты предоставления и срока действия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гарантии, объема гарантии, объема обязательств, исполненных принципалом,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объема погашения из бюджета муниципального образования, фактического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остатка обязательств муниципального образования по гарантии с учетом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погашения;</w:t>
      </w:r>
    </w:p>
    <w:p w:rsidR="00300D05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сведения об объеме предоставленных из бюджета муниципального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образования бюджетных кредитов и их погашении по состоянию на начало и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конец отчетного года в разрезе получателей с указанием основания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представления бюджетного кредита, начисленных и уплаченных процентах за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пользование бюджетным кредитом с приложением копий договоров о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предоставлении бюджетных кредитов, о пролонгации выданных бюджетных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кредитов;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 </w:t>
      </w:r>
      <w:r w:rsidRPr="005D52F2">
        <w:rPr>
          <w:rFonts w:ascii="Times New Roman" w:hAnsi="Times New Roman" w:cs="Times New Roman"/>
          <w:sz w:val="28"/>
          <w:szCs w:val="28"/>
        </w:rPr>
        <w:t>- по акционерным обществам с долей муниципального образования в уставном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капитале по состоянию на начало и конец отчетного года с указанием доли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участия, результата финансово-хозяйственной деятельности обществ, доли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чистой прибыли, направленной на выплату дивидендов и объема начисленных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 выплаченных дивидендов в местный бюджет;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05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муниципальным унитарным предприятиям с указанием результата их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финансово-хозяйственной деятельности за отчетный период и объемов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перечисленной в местный бюджет части прибыли, остающейся после уплаты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налогов и иных обязательных платежей;</w:t>
      </w:r>
    </w:p>
    <w:p w:rsidR="00300D05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льготам по арендной плате за земельные участки и муниципальное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имущество, предоставленным органами местного самоуправления, с указанием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решений о предоставлении льгот, получателей, а также суммы выпадающих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доходов местного бюджета;</w:t>
      </w:r>
    </w:p>
    <w:p w:rsidR="00753B82" w:rsidRPr="005D52F2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наличию задолженности по арендной плате за земельные участки и иное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имущество, с указанием суммы начисления, оплаты и недоимки, перечня</w:t>
      </w:r>
      <w:r w:rsidR="00300D0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основных должников;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о мероприятиях, проведенных в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отчетном году и направленных на </w:t>
      </w:r>
      <w:r w:rsidRPr="005D52F2">
        <w:rPr>
          <w:rFonts w:ascii="Times New Roman" w:hAnsi="Times New Roman" w:cs="Times New Roman"/>
          <w:sz w:val="28"/>
          <w:szCs w:val="28"/>
        </w:rPr>
        <w:t>увеличение объемов поступлений неналоговых доходов в местный бюджет;</w:t>
      </w:r>
    </w:p>
    <w:p w:rsidR="00DA16C4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начислению и поступлению налогов, сборов и иных обязательных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платежей в бюджет муниципального образования;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C4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суммам недоимки (задолженности) по налогам, сборам и иным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обязательным платежам, зачисляемым в бюджет муниципального образования;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иные сведения по налогам и сборам, зачисляемым в бюджет муниципального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образования (при необходимости).</w:t>
      </w:r>
    </w:p>
    <w:p w:rsidR="00DA16C4" w:rsidRPr="005D52F2" w:rsidRDefault="009C52F3" w:rsidP="00B6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B6082B" w:rsidRPr="005D52F2">
        <w:rPr>
          <w:rFonts w:ascii="Times New Roman" w:hAnsi="Times New Roman" w:cs="Times New Roman"/>
          <w:sz w:val="28"/>
          <w:szCs w:val="28"/>
        </w:rPr>
        <w:t xml:space="preserve">.2. </w:t>
      </w:r>
      <w:r w:rsidR="00753B82" w:rsidRPr="005D52F2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муниципального образования (далее – Отчет об исполнении бюджета)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представляет собой комплекс контрольных мероприятий по проверке полноты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и достоверности показателей Отчета и иной бюджетной отчетности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муниципального образования, их соответствия требованиям нормативных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DA16C4" w:rsidRPr="005D52F2" w:rsidRDefault="009C52F3" w:rsidP="008F0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8F0835" w:rsidRPr="005D52F2">
        <w:rPr>
          <w:rFonts w:ascii="Times New Roman" w:hAnsi="Times New Roman" w:cs="Times New Roman"/>
          <w:sz w:val="28"/>
          <w:szCs w:val="28"/>
        </w:rPr>
        <w:t xml:space="preserve">.3. </w:t>
      </w:r>
      <w:r w:rsidR="00753B82" w:rsidRPr="005D52F2">
        <w:rPr>
          <w:rFonts w:ascii="Times New Roman" w:hAnsi="Times New Roman" w:cs="Times New Roman"/>
          <w:sz w:val="28"/>
          <w:szCs w:val="28"/>
        </w:rPr>
        <w:t>В части установления полноты бюджетной отчетности муниципального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образования и ее соответствия требованиям нормативных правовых актов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необходимо провести анализ представленной к проверке бюджетной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отчетности на предмет ее соответствия по составу, структуре и заполнению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(содержанию) требованиям Бюджетного кодекса Российской Федерации,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Инструкции № 191н, Указаниям о порядке применения бюджетной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классификации Российской Федерации.</w:t>
      </w:r>
    </w:p>
    <w:p w:rsidR="00753B82" w:rsidRPr="005D52F2" w:rsidRDefault="009C52F3" w:rsidP="008F0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8F0835" w:rsidRPr="005D52F2">
        <w:rPr>
          <w:rFonts w:ascii="Times New Roman" w:hAnsi="Times New Roman" w:cs="Times New Roman"/>
          <w:sz w:val="28"/>
          <w:szCs w:val="28"/>
        </w:rPr>
        <w:t>.4.</w:t>
      </w:r>
      <w:r w:rsidR="00753B82" w:rsidRPr="005D52F2">
        <w:rPr>
          <w:rFonts w:ascii="Times New Roman" w:hAnsi="Times New Roman" w:cs="Times New Roman"/>
          <w:sz w:val="28"/>
          <w:szCs w:val="28"/>
        </w:rPr>
        <w:t xml:space="preserve"> Основные этапы внешней проверки показателей годового отчета об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и иной бюджетной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отчетности муниципального образования, пр</w:t>
      </w:r>
      <w:r w:rsidR="008F0835" w:rsidRPr="005D52F2">
        <w:rPr>
          <w:rFonts w:ascii="Times New Roman" w:hAnsi="Times New Roman" w:cs="Times New Roman"/>
          <w:sz w:val="28"/>
          <w:szCs w:val="28"/>
        </w:rPr>
        <w:t>едставленной одновременно с ним:</w:t>
      </w:r>
    </w:p>
    <w:p w:rsidR="00753B82" w:rsidRPr="005D52F2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DA16C4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.1. Проверка соответствия бюджетной отчетности муниципального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образования по составу требованиям Бюджетного кодекса Российской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Федерации, Положения о бюджетном процессе в муниципальном образовании.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Согласно пункту 2 статьи 264.1 Бюджетного кодекса Российской Федерации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бюджетная отчетность должна включать в себя: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В случае представления бюджетной отчетности не в полном объеме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устанавливаются причины.</w:t>
      </w:r>
    </w:p>
    <w:p w:rsidR="00753B82" w:rsidRPr="005D52F2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753B82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.2. Проверка соответствия бюджетной отчетности муниципального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образования требованиям Бюджетного кодекса Российской Федерации в части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составления финансовым органом муниципального образования бюджетной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отчетности муниципального образования на основании сводной бюджетной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отчетности соответствующих ГАБС (пункт 4 статьи 264.2 Бюджетного кодекса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DA16C4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На основе данных ГАБС, в том числе данных главных администраторов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(администраторов) доходов бюджета муниципального образования, должен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быть сделан вывод о полноте и достоверности либо о неполноте и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недостоверности отражения показателей в годовом отчете об исполнении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бюджета муниципального образования.</w:t>
      </w:r>
    </w:p>
    <w:p w:rsidR="00753B82" w:rsidRPr="005D52F2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Дополнительно полнота либо неполнота отражения в годовом отчете об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исполнении бюджета показателей поступивших доходов и произведенных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может быть подтверждена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сведениями федерального и республиканского казначейств (в частности,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актом сверки).</w:t>
      </w:r>
    </w:p>
    <w:p w:rsidR="00753B82" w:rsidRPr="005D52F2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DA16C4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.3. Проверка соответствия бюджетной отчетности муниципального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образования по структуре и заполнению (содержанию) требованиям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Инструкции № 191н и Указаниям о порядке применения бюджетной</w:t>
      </w:r>
      <w:r w:rsidR="00DA16C4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классификации Российской Федерации.</w:t>
      </w:r>
    </w:p>
    <w:p w:rsidR="00753B82" w:rsidRPr="005D52F2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8F0835" w:rsidRPr="005D52F2">
        <w:rPr>
          <w:rFonts w:ascii="Times New Roman" w:hAnsi="Times New Roman" w:cs="Times New Roman"/>
          <w:sz w:val="28"/>
          <w:szCs w:val="28"/>
        </w:rPr>
        <w:t>.4</w:t>
      </w:r>
      <w:r w:rsidR="00753B82" w:rsidRPr="005D52F2">
        <w:rPr>
          <w:rFonts w:ascii="Times New Roman" w:hAnsi="Times New Roman" w:cs="Times New Roman"/>
          <w:sz w:val="28"/>
          <w:szCs w:val="28"/>
        </w:rPr>
        <w:t>.3.1. Отчет об исполнении бюджета.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Согласно пункту 134 Инструкции №191н в графе 3 «Код по бюджетной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классификации» Отчета об исполнении бюджета должны быть отражены коды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соответственно по разделам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отчета. Указанные коды бюджетной классификации Российской Федерации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должны соответствовать наименованиям показателей, указанных в графе 1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отчета, и Указаниям о порядке применения бюджетной классификации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Также в соответствии с пунктом 134 Инструкции №191н в графе 4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«Утвержденные бюджетные назначения» Отчета об исполнении бюджета должны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быть отражены: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разделу «Доходы бюджета» и разделу «Источники финансирования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дефицита бюджета» - в сумме плановых показателей доходов бюджета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поступлений по источникам финансирования дефицита бюджета, утвержденных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решением о бюджете;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- по разделу «Расходы бюджета» и разделу «Источники финансирования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дефицита бюджета» - в сумме бюджетных назначений по расходам бюджета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выплатам источников финансирования дефицита бюджета, утвержденных в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росписью, с учетом последующих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изменений, оформленных в установленном порядке.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Кроме того, в соответствии с пунктами 135-136 Инструкции №191н по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соответствующим разделам Отчета об исполнении бюджета должны быть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заполнены графы «Исполнено» и «Неисполненные назначения».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Порядок формирования финансовым органом Отчета об исполнении бюджета по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состоянию на 1 января года, следующего за отчетным, установлен пунктом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137 Инструкции №191н.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При проведении проверки Отчета об исполнении бюджета необходимо обратить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внимание на согласованность отдельных показателей, указанных в Отчете, с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аналогичными показателями, отраженными в Балансе исполнения бюджета,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Отчете о движении денежных средств.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Так, показатель строки 700 «Изменение остатков средств» Отчета об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исполнении бюджета должен соответствовать разнице показателей,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отраженных по бюджетной деятельности на начало и конец отчетного года по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строке 191 «Средства единого счета бюджета» Баланса исполнения бюджета,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а также показателю, отраженному по бюджетной деятельности по строке 380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«Изменение остатков средств» Отчета о движении денежных средств.</w:t>
      </w:r>
    </w:p>
    <w:p w:rsidR="00753B82" w:rsidRPr="005D52F2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753B82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.3.2. Баланс исполнения бюджета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Баланс исполнения бюджета формируется финансовым органом по состоянию на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1 января года, следующего за отчетным (пункт 109 Инструкции №191н).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Баланс исполнения бюджета формируется на основании сводного Баланса,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сформированного финансовым органом, и сводного годового Баланса по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поступлениям и выбытиям бюджетных средств путем объединения показателей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 строкам и графам отчетов, с одновременным исключением взаимосвязанных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показателей (пункт 114 Инструкции №191н).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В соответствии с пунктом 110 Инструкции №191н показатели должны быть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отражены в Балансе исполнения бюджета в разрезе бюджетной деятельности,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приносящей доход деятельности, средств во временном распоряжении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итогового показателя на начало года и конец отчетного периода.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Согласно пункту 111 Инструкции №191н в графе «На начало года» Баланса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исполнения бюджета должны быть отражены данные о стоимости активов,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обязательств, финансовом результате на начало года (вступительный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баланс), соответствующие данным графы «На конец отчетного периода»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предыдущего года (заключительный баланс).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 вступительного баланса данным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заключительного баланса необходимо установить объемы расхождений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причины, их обусловившие.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В графе «На конец отчетного периода» Баланса должны быть отражены данные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 стоимости активов и обязательств, ф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инансовом результате на 1 января </w:t>
      </w:r>
      <w:r w:rsidRPr="005D52F2">
        <w:rPr>
          <w:rFonts w:ascii="Times New Roman" w:hAnsi="Times New Roman" w:cs="Times New Roman"/>
          <w:sz w:val="28"/>
          <w:szCs w:val="28"/>
        </w:rPr>
        <w:t>года, следующего за отчетным, с учетом проведенных 31 декабря при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завершении финансового года заключительных оборотов по счетам бюджетного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учета (пункт 112 Инструкции №191н).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В составе Баланса исполнения бюджета должна быть сформирована Справка 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наличии имущества и обязательств на забалансовых счетах (пункт 115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Инструкции №191н)</w:t>
      </w:r>
    </w:p>
    <w:p w:rsidR="00753B82" w:rsidRPr="005D52F2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753B82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.3.3. Консолидированный отчет о финансовых результатах деятельности.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Финансовый орган, на основании данных консолидированных Отчетов 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финансовых результатах деятельности, представленных ГАБС, составляет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консолидированный Отчет путем суммирования одноименных показателей по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строкам и графам соответствующих разделов отчета и исключения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взаимосвязанных показателей в части операций по безвозмездной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безвозвратной передаче (получению) между получателями бюджетных средств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(администраторами источников финансирования дефицита бюджета),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подведомственными разным главным распорядителям средств соответствующего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бюджета (главным администраторам источников финансирования дефицита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соответствующего бюджета), финансовых, нефинансовых активов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обязательств в порядке, установленным пунктом 194 Инструкции №191н.</w:t>
      </w:r>
    </w:p>
    <w:p w:rsidR="00753B82" w:rsidRPr="005D52F2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753B82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.3.4. Отчет о движении денежных средств.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Согласно пункту 146 Инструкции №191н Отчет о движении денежных средств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должен быть составлен финансовым органом на 1 января года, следующего за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отчетным, на основании данных о движении денежных средств на счетах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бюджетов, на едином счете бюджета, открытом в органе, осуществляющем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бюджета, и на основании данных,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представленных ГАБС о движении денежных средств на счетах в рублях 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иностранной валюте, открытых в кредитных организациях, по состоянию на 1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января года, следующего за отчетным.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Показатели в указанном отчете должны быть отражены по разделам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«Поступления», «Выбытия», «Изменение остатков средств» в разрезе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бюджетной деятельности, приносящей доход деятельности и итогового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показателя (пункт 147 Инструкции №191н).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Показатели Отчета о движении денежных средств должны быть сформированы с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учетом положений пунктов 148 -150 Инструкции № 191н.</w:t>
      </w:r>
    </w:p>
    <w:p w:rsidR="00753B82" w:rsidRPr="005D52F2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753B82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.3.5. Пояснительная записка.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Пояснительная записка к годовому отчету об исполнении бюджета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муниципального образования составляется аналогично пояснительной записке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к бюджетной отчетности ГАБС.</w:t>
      </w:r>
    </w:p>
    <w:p w:rsidR="00753B82" w:rsidRPr="005D52F2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При этом в соответствии с пунктом 4 статьи 264.1 Бюджетного кодекса</w:t>
      </w:r>
    </w:p>
    <w:p w:rsidR="00753B82" w:rsidRPr="005D52F2" w:rsidRDefault="00753B82" w:rsidP="005A35CD">
      <w:pPr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Российской Федерации пояснительная записка должна содержать анализ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исполнения бюджета и бюджетной отчетности, а также сведения о выполнении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государственного (муниципального) задания и (или) иных результатах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использования бюджетных ассигнований главными распорядителям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и </w:t>
      </w:r>
      <w:r w:rsidRPr="005D52F2">
        <w:rPr>
          <w:rFonts w:ascii="Times New Roman" w:hAnsi="Times New Roman" w:cs="Times New Roman"/>
          <w:sz w:val="28"/>
          <w:szCs w:val="28"/>
        </w:rPr>
        <w:t>(распорядителями, получателями) бюджетных средств в отчетном финансовом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году.</w:t>
      </w:r>
    </w:p>
    <w:p w:rsidR="00753B82" w:rsidRPr="005D52F2" w:rsidRDefault="009C52F3" w:rsidP="008F0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753B82" w:rsidRPr="005D52F2">
        <w:rPr>
          <w:rFonts w:ascii="Times New Roman" w:hAnsi="Times New Roman" w:cs="Times New Roman"/>
          <w:sz w:val="28"/>
          <w:szCs w:val="28"/>
        </w:rPr>
        <w:t>.</w:t>
      </w:r>
      <w:r w:rsidR="008F0835" w:rsidRPr="005D52F2">
        <w:rPr>
          <w:rFonts w:ascii="Times New Roman" w:hAnsi="Times New Roman" w:cs="Times New Roman"/>
          <w:sz w:val="28"/>
          <w:szCs w:val="28"/>
        </w:rPr>
        <w:t>4</w:t>
      </w:r>
      <w:r w:rsidR="00753B82" w:rsidRPr="005D52F2">
        <w:rPr>
          <w:rFonts w:ascii="Times New Roman" w:hAnsi="Times New Roman" w:cs="Times New Roman"/>
          <w:sz w:val="28"/>
          <w:szCs w:val="28"/>
        </w:rPr>
        <w:t>.4. Проверка тождественности показателей Пояснительной записки к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годовому отчету об исполнении бюджета муниципального образования с</w:t>
      </w:r>
      <w:r w:rsidR="008F0835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Балансом исполнения бюджета, Отчетом об исполнении бюджета, Отчетом о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движении денежных средств.</w:t>
      </w:r>
    </w:p>
    <w:p w:rsidR="00753B82" w:rsidRPr="005D52F2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3</w:t>
      </w:r>
      <w:r w:rsidR="00834538" w:rsidRPr="005D52F2">
        <w:rPr>
          <w:rFonts w:ascii="Times New Roman" w:hAnsi="Times New Roman" w:cs="Times New Roman"/>
          <w:sz w:val="28"/>
          <w:szCs w:val="28"/>
        </w:rPr>
        <w:t>.</w:t>
      </w:r>
      <w:r w:rsidR="00753B82" w:rsidRPr="005D52F2">
        <w:rPr>
          <w:rFonts w:ascii="Times New Roman" w:hAnsi="Times New Roman" w:cs="Times New Roman"/>
          <w:sz w:val="28"/>
          <w:szCs w:val="28"/>
        </w:rPr>
        <w:t>5. По итогам внешней проверки показателей годового Отчета об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и иной бюджетной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отчетности муниципального образования, представленной одновременно с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ним, должен быть сделан вывод об их соответствии либо несоответствии</w:t>
      </w:r>
      <w:r w:rsidR="005A35CD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D52F2">
        <w:rPr>
          <w:rFonts w:ascii="Times New Roman" w:hAnsi="Times New Roman" w:cs="Times New Roman"/>
          <w:sz w:val="28"/>
          <w:szCs w:val="28"/>
        </w:rPr>
        <w:t>аналогичным показателям сводной бюджетной отчетности ГАБС.</w:t>
      </w:r>
    </w:p>
    <w:p w:rsidR="009C52F3" w:rsidRPr="005D52F2" w:rsidRDefault="009C52F3" w:rsidP="009C52F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5E7E8A" w:rsidRPr="005D52F2" w:rsidRDefault="009C52F3" w:rsidP="009C52F3">
      <w:pPr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D52F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7E8A" w:rsidRPr="005D52F2">
        <w:rPr>
          <w:rFonts w:ascii="Times New Roman" w:hAnsi="Times New Roman" w:cs="Times New Roman"/>
          <w:b/>
          <w:sz w:val="28"/>
          <w:szCs w:val="28"/>
        </w:rPr>
        <w:t xml:space="preserve">Подготовка и оформление заключения по результатам внешней проверки годового отчета об исполнении бюджета муниципального образования </w:t>
      </w:r>
    </w:p>
    <w:p w:rsidR="005E7E8A" w:rsidRPr="005D52F2" w:rsidRDefault="003E38DD" w:rsidP="008345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4</w:t>
      </w:r>
      <w:r w:rsidR="00834538" w:rsidRPr="005D52F2">
        <w:rPr>
          <w:rFonts w:ascii="Times New Roman" w:hAnsi="Times New Roman" w:cs="Times New Roman"/>
          <w:sz w:val="28"/>
          <w:szCs w:val="28"/>
        </w:rPr>
        <w:t xml:space="preserve">.1. </w:t>
      </w:r>
      <w:r w:rsidR="008865A4" w:rsidRPr="005D52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34538" w:rsidRPr="005D52F2">
        <w:rPr>
          <w:rFonts w:ascii="Times New Roman" w:hAnsi="Times New Roman" w:cs="Times New Roman"/>
          <w:sz w:val="28"/>
          <w:szCs w:val="28"/>
        </w:rPr>
        <w:t>итог</w:t>
      </w:r>
      <w:r w:rsidR="008865A4" w:rsidRPr="005D52F2">
        <w:rPr>
          <w:rFonts w:ascii="Times New Roman" w:hAnsi="Times New Roman" w:cs="Times New Roman"/>
          <w:sz w:val="28"/>
          <w:szCs w:val="28"/>
        </w:rPr>
        <w:t>ов</w:t>
      </w:r>
      <w:r w:rsidR="005E7E8A" w:rsidRPr="005D52F2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ГАБС, внешней проверки отчета об исполнении бюджета муниципального образования </w:t>
      </w:r>
      <w:r w:rsidR="00834538" w:rsidRPr="005D52F2">
        <w:rPr>
          <w:rFonts w:ascii="Times New Roman" w:hAnsi="Times New Roman" w:cs="Times New Roman"/>
          <w:sz w:val="28"/>
          <w:szCs w:val="28"/>
        </w:rPr>
        <w:t>в</w:t>
      </w:r>
      <w:r w:rsidR="00246C0F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="00834538" w:rsidRPr="005D52F2">
        <w:rPr>
          <w:rFonts w:ascii="Times New Roman" w:hAnsi="Times New Roman" w:cs="Times New Roman"/>
          <w:sz w:val="28"/>
          <w:szCs w:val="28"/>
        </w:rPr>
        <w:t>срок</w:t>
      </w:r>
      <w:r w:rsidR="000731EB" w:rsidRPr="005D52F2">
        <w:rPr>
          <w:rFonts w:ascii="Times New Roman" w:hAnsi="Times New Roman" w:cs="Times New Roman"/>
          <w:sz w:val="28"/>
          <w:szCs w:val="28"/>
        </w:rPr>
        <w:t>,</w:t>
      </w:r>
      <w:r w:rsidR="00834538" w:rsidRPr="005D52F2">
        <w:rPr>
          <w:rFonts w:ascii="Times New Roman" w:hAnsi="Times New Roman" w:cs="Times New Roman"/>
          <w:sz w:val="28"/>
          <w:szCs w:val="28"/>
        </w:rPr>
        <w:t xml:space="preserve"> установленный Положением </w:t>
      </w:r>
      <w:r w:rsidR="00834538" w:rsidRPr="005D52F2">
        <w:rPr>
          <w:rFonts w:ascii="Times New Roman" w:eastAsia="Times New Roman" w:hAnsi="Times New Roman" w:cs="Times New Roman"/>
          <w:sz w:val="28"/>
          <w:szCs w:val="28"/>
        </w:rPr>
        <w:t>о проведении внешней проверки годового отчета об исполнении бюджета городского округа Анадырь</w:t>
      </w:r>
      <w:r w:rsidR="00834538" w:rsidRPr="005D52F2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городского округа Анадырь от 04 октября 2018 года №</w:t>
      </w:r>
      <w:r w:rsidR="008865A4" w:rsidRPr="005D52F2">
        <w:rPr>
          <w:rFonts w:ascii="Times New Roman" w:hAnsi="Times New Roman" w:cs="Times New Roman"/>
          <w:sz w:val="28"/>
          <w:szCs w:val="28"/>
        </w:rPr>
        <w:t xml:space="preserve">327 оформляется 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заключение на годовой отчет об исполнении бюджета муниципального образования.</w:t>
      </w:r>
    </w:p>
    <w:p w:rsidR="00C01D8C" w:rsidRPr="005D52F2" w:rsidRDefault="003E38DD" w:rsidP="008865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4538" w:rsidRPr="005D52F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E7E8A" w:rsidRPr="005D52F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</w:t>
      </w:r>
      <w:r w:rsidR="005E7E8A" w:rsidRPr="005D52F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F04420" w:rsidRPr="005D52F2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 w:rsidR="005E7E8A" w:rsidRPr="005D52F2">
        <w:rPr>
          <w:rFonts w:ascii="Times New Roman" w:eastAsia="Times New Roman" w:hAnsi="Times New Roman" w:cs="Times New Roman"/>
          <w:sz w:val="28"/>
          <w:szCs w:val="28"/>
        </w:rPr>
        <w:t>к настоящему Стандарту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 xml:space="preserve"> и должно включать основные вопросы, охватывающие содержание экспертно – аналитического мероприятия: </w:t>
      </w:r>
    </w:p>
    <w:p w:rsidR="00C01D8C" w:rsidRPr="005D52F2" w:rsidRDefault="003E38DD" w:rsidP="008865A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110" w:rsidRPr="005D52F2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Анализ нормативной правовой базы, регулирующей вопросы организации бюджетного процесса в городском округе Анадырь;</w:t>
      </w:r>
    </w:p>
    <w:p w:rsidR="00F43A1F" w:rsidRPr="005D52F2" w:rsidRDefault="00783110" w:rsidP="00F43A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A1F" w:rsidRPr="005D52F2">
        <w:rPr>
          <w:rFonts w:ascii="Times New Roman" w:eastAsia="Times New Roman" w:hAnsi="Times New Roman" w:cs="Times New Roman"/>
          <w:sz w:val="28"/>
          <w:szCs w:val="28"/>
        </w:rPr>
        <w:t xml:space="preserve">. Итоги внешней проверки годового отчета об исполнении бюджета городского округа Анадырь и внешней проверки годовой бюджетной отчетности главных администраторов бюджетных средств </w:t>
      </w:r>
    </w:p>
    <w:p w:rsidR="00C01D8C" w:rsidRPr="005D52F2" w:rsidRDefault="00783110" w:rsidP="007831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5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Анализ исполнения решения о бюджете городского округа Анадырь;</w:t>
      </w:r>
    </w:p>
    <w:p w:rsidR="00C01D8C" w:rsidRPr="005D52F2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. Анализ исполнения показателей доходной части бюджета городского округа Анадырь;</w:t>
      </w:r>
    </w:p>
    <w:p w:rsidR="00C01D8C" w:rsidRPr="005D52F2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 xml:space="preserve"> Анализ исполнения показателей расходной части бюджета городского округа Анадырь;</w:t>
      </w:r>
    </w:p>
    <w:p w:rsidR="00C01D8C" w:rsidRPr="005D52F2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. Анализ исполнения показателей по источникам финансирования дефицита бюджета городского округа Анадырь и состояния муниципального долга;</w:t>
      </w:r>
    </w:p>
    <w:p w:rsidR="00C01D8C" w:rsidRPr="005D52F2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. Анализ использования бюджетных ассигнований муниципального дорожного фонда;</w:t>
      </w:r>
    </w:p>
    <w:p w:rsidR="00C01D8C" w:rsidRPr="005D52F2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>. Анализ реализации муниципальных программ в городском округе Анадырь;</w:t>
      </w:r>
    </w:p>
    <w:p w:rsidR="004A7098" w:rsidRPr="005D52F2" w:rsidRDefault="004A7098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52F2">
        <w:rPr>
          <w:rFonts w:ascii="Times New Roman" w:eastAsia="Times New Roman" w:hAnsi="Times New Roman" w:cs="Times New Roman"/>
          <w:sz w:val="28"/>
          <w:szCs w:val="28"/>
        </w:rPr>
        <w:t>. Анализ исполнения решения о бюджете муниципального образования в рамках непрограммных направлений деятельности;</w:t>
      </w:r>
    </w:p>
    <w:p w:rsidR="004A7098" w:rsidRPr="005D52F2" w:rsidRDefault="004A7098" w:rsidP="004A709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4.2.1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52F2">
        <w:rPr>
          <w:rFonts w:ascii="Times New Roman" w:eastAsia="Times New Roman" w:hAnsi="Times New Roman" w:cs="Times New Roman"/>
          <w:sz w:val="28"/>
          <w:szCs w:val="28"/>
        </w:rPr>
        <w:t>. Анализ расходования средств резервного фонда Администрации городского округа Анадырь.</w:t>
      </w:r>
    </w:p>
    <w:p w:rsidR="00C01D8C" w:rsidRPr="005D52F2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 w:rsidRPr="005D52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E13BB" w:rsidRPr="005D52F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21A4" w:rsidRPr="005D52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1D8C" w:rsidRPr="005D52F2">
        <w:rPr>
          <w:rFonts w:ascii="Times New Roman" w:eastAsia="Times New Roman" w:hAnsi="Times New Roman" w:cs="Times New Roman"/>
          <w:sz w:val="28"/>
          <w:szCs w:val="28"/>
        </w:rPr>
        <w:t xml:space="preserve"> Оценка организации и осуществления внутреннего муниципального финансового контроля в ходе исполнения бюджета городского округа Анадырь.</w:t>
      </w:r>
    </w:p>
    <w:p w:rsidR="005E7E8A" w:rsidRPr="005D52F2" w:rsidRDefault="005E7E8A" w:rsidP="005E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Также в заключении целесообразно отразить наиболее существенные</w:t>
      </w:r>
      <w:r w:rsidR="004A7098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нарушения и недостатки, выявленные в ходе проведения внешней проверки</w:t>
      </w:r>
      <w:r w:rsidR="004A7098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и</w:t>
      </w:r>
      <w:r w:rsidR="004A7098" w:rsidRPr="005D52F2">
        <w:rPr>
          <w:rFonts w:ascii="Times New Roman" w:hAnsi="Times New Roman" w:cs="Times New Roman"/>
          <w:sz w:val="28"/>
          <w:szCs w:val="28"/>
        </w:rPr>
        <w:t xml:space="preserve"> </w:t>
      </w:r>
      <w:r w:rsidRPr="005D52F2">
        <w:rPr>
          <w:rFonts w:ascii="Times New Roman" w:hAnsi="Times New Roman" w:cs="Times New Roman"/>
          <w:sz w:val="28"/>
          <w:szCs w:val="28"/>
        </w:rPr>
        <w:t>бюджетной отчетности ГАБС.</w:t>
      </w:r>
    </w:p>
    <w:p w:rsidR="005E7E8A" w:rsidRDefault="005E7E8A" w:rsidP="005E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F2">
        <w:rPr>
          <w:rFonts w:ascii="Times New Roman" w:hAnsi="Times New Roman" w:cs="Times New Roman"/>
          <w:sz w:val="28"/>
          <w:szCs w:val="28"/>
        </w:rPr>
        <w:t>По итогам проверки выносятся предложения и рекомендации, направленные на устранение (исключение) выявленных нарушений, недостатков.</w:t>
      </w:r>
      <w:r w:rsidRPr="00F4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B7" w:rsidRDefault="003D30B7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0B7" w:rsidRPr="005A35CD" w:rsidRDefault="003D30B7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E51" w:rsidRPr="00FC78EB" w:rsidRDefault="00997E51" w:rsidP="00997E5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069B0" w:rsidRDefault="005069B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069B0" w:rsidRDefault="005069B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9167B" w:rsidRDefault="0089167B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tbl>
      <w:tblPr>
        <w:tblStyle w:val="af9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86"/>
      </w:tblGrid>
      <w:tr w:rsidR="005069B0" w:rsidTr="000855F5">
        <w:trPr>
          <w:trHeight w:val="2037"/>
        </w:trPr>
        <w:tc>
          <w:tcPr>
            <w:tcW w:w="4503" w:type="dxa"/>
          </w:tcPr>
          <w:p w:rsidR="005069B0" w:rsidRDefault="005069B0" w:rsidP="003D30B7">
            <w:pPr>
              <w:widowControl/>
              <w:tabs>
                <w:tab w:val="left" w:pos="5529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5069B0" w:rsidRDefault="005069B0" w:rsidP="000855F5">
            <w:pPr>
              <w:widowControl/>
              <w:tabs>
                <w:tab w:val="left" w:pos="5529"/>
              </w:tabs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5069B0" w:rsidRDefault="005069B0" w:rsidP="003D30B7">
            <w:pPr>
              <w:widowControl/>
              <w:tabs>
                <w:tab w:val="left" w:pos="5529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Стандарту внешнего муниципального финансового контроля «Проведение внешней проверки годового отчета об исполнении бюджета муниципального образования»</w:t>
            </w:r>
          </w:p>
        </w:tc>
      </w:tr>
    </w:tbl>
    <w:p w:rsidR="0089167B" w:rsidRPr="003D30B7" w:rsidRDefault="0089167B" w:rsidP="005069B0">
      <w:pPr>
        <w:widowControl/>
        <w:tabs>
          <w:tab w:val="left" w:pos="5529"/>
        </w:tabs>
        <w:autoSpaceDE/>
        <w:autoSpaceDN/>
        <w:adjustRightInd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3D30B7" w:rsidRDefault="003D30B7" w:rsidP="003D30B7">
      <w:pPr>
        <w:jc w:val="center"/>
        <w:rPr>
          <w:rFonts w:ascii="Times New Roman" w:hAnsi="Times New Roman" w:cs="Times New Roman"/>
          <w:sz w:val="26"/>
          <w:szCs w:val="26"/>
        </w:rPr>
      </w:pPr>
      <w:r w:rsidRPr="003D30B7">
        <w:rPr>
          <w:rFonts w:ascii="Times New Roman" w:hAnsi="Times New Roman" w:cs="Times New Roman"/>
          <w:sz w:val="26"/>
          <w:szCs w:val="26"/>
        </w:rPr>
        <w:t>КОНТРОЛЬНО – СЧ</w:t>
      </w:r>
      <w:r w:rsidR="008F1270">
        <w:rPr>
          <w:rFonts w:ascii="Times New Roman" w:hAnsi="Times New Roman" w:cs="Times New Roman"/>
          <w:sz w:val="26"/>
          <w:szCs w:val="26"/>
        </w:rPr>
        <w:t>Е</w:t>
      </w:r>
      <w:r w:rsidRPr="003D30B7">
        <w:rPr>
          <w:rFonts w:ascii="Times New Roman" w:hAnsi="Times New Roman" w:cs="Times New Roman"/>
          <w:sz w:val="26"/>
          <w:szCs w:val="26"/>
        </w:rPr>
        <w:t>ТН</w:t>
      </w:r>
      <w:r w:rsidR="008F1270">
        <w:rPr>
          <w:rFonts w:ascii="Times New Roman" w:hAnsi="Times New Roman" w:cs="Times New Roman"/>
          <w:sz w:val="26"/>
          <w:szCs w:val="26"/>
        </w:rPr>
        <w:t xml:space="preserve">АЯ ПАЛАТА </w:t>
      </w:r>
      <w:r w:rsidRPr="003D30B7">
        <w:rPr>
          <w:rFonts w:ascii="Times New Roman" w:hAnsi="Times New Roman" w:cs="Times New Roman"/>
          <w:sz w:val="26"/>
          <w:szCs w:val="26"/>
        </w:rPr>
        <w:t>ГОРОДСКОГО ОКРУГА АНАДЫРЬ</w:t>
      </w:r>
    </w:p>
    <w:p w:rsidR="003D30B7" w:rsidRPr="003D30B7" w:rsidRDefault="003D30B7" w:rsidP="003D30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A25CF" w:rsidRDefault="008A25CF" w:rsidP="00F45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5CF" w:rsidRPr="008865A4" w:rsidRDefault="008A25CF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A4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8A25CF" w:rsidRPr="008865A4" w:rsidRDefault="008865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A4">
        <w:rPr>
          <w:rFonts w:ascii="Times New Roman" w:hAnsi="Times New Roman" w:cs="Times New Roman"/>
          <w:sz w:val="28"/>
          <w:szCs w:val="28"/>
        </w:rPr>
        <w:t>на годовой отчет об исполнении бюджета городского округа Анадырь за ______20__ год</w:t>
      </w:r>
    </w:p>
    <w:p w:rsidR="008865A4" w:rsidRPr="008865A4" w:rsidRDefault="008865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889"/>
      </w:tblGrid>
      <w:tr w:rsidR="000621A4" w:rsidRPr="000621A4" w:rsidTr="00F81B76">
        <w:tc>
          <w:tcPr>
            <w:tcW w:w="4842" w:type="dxa"/>
          </w:tcPr>
          <w:p w:rsidR="000621A4" w:rsidRPr="000621A4" w:rsidRDefault="000621A4" w:rsidP="000621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1A4">
              <w:rPr>
                <w:rFonts w:ascii="Times New Roman" w:eastAsia="Times New Roman" w:hAnsi="Times New Roman" w:cs="Times New Roman"/>
                <w:sz w:val="28"/>
                <w:szCs w:val="28"/>
              </w:rPr>
              <w:t>г. Анадырь</w:t>
            </w:r>
          </w:p>
        </w:tc>
        <w:tc>
          <w:tcPr>
            <w:tcW w:w="5011" w:type="dxa"/>
          </w:tcPr>
          <w:p w:rsidR="000621A4" w:rsidRPr="000621A4" w:rsidRDefault="000621A4" w:rsidP="000621A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</w:t>
            </w:r>
            <w:r w:rsidRPr="00062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0621A4" w:rsidRPr="000621A4" w:rsidRDefault="000621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CF" w:rsidRPr="000621A4" w:rsidRDefault="008A25CF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CF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</w:t>
      </w:r>
      <w:r w:rsidRPr="000621A4">
        <w:rPr>
          <w:rFonts w:ascii="Times New Roman" w:eastAsia="Times New Roman" w:hAnsi="Times New Roman" w:cs="Times New Roman"/>
          <w:sz w:val="28"/>
          <w:szCs w:val="28"/>
        </w:rPr>
        <w:t xml:space="preserve"> экспертно – аналитического мероприятия:</w:t>
      </w:r>
    </w:p>
    <w:p w:rsidR="003D30B7" w:rsidRPr="000621A4" w:rsidRDefault="003D30B7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25CF" w:rsidRPr="000621A4" w:rsidRDefault="008A25CF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 xml:space="preserve">Цель (цели) экспертно – аналитического мероприятия: </w:t>
      </w:r>
    </w:p>
    <w:p w:rsidR="003D30B7" w:rsidRPr="000621A4" w:rsidRDefault="003D30B7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25CF" w:rsidRPr="000621A4" w:rsidRDefault="008A25CF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>Предмет экспертно – аналитического мероприятия:</w:t>
      </w:r>
    </w:p>
    <w:p w:rsidR="003D30B7" w:rsidRPr="000621A4" w:rsidRDefault="003D30B7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25CF" w:rsidRPr="000621A4" w:rsidRDefault="008A25CF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CF">
        <w:rPr>
          <w:rFonts w:ascii="Times New Roman" w:eastAsia="Times New Roman" w:hAnsi="Times New Roman" w:cs="Times New Roman"/>
          <w:sz w:val="28"/>
          <w:szCs w:val="28"/>
        </w:rPr>
        <w:t xml:space="preserve">Основные вопросы, охватывающие содержание экспертно – аналитического мероприятия: </w:t>
      </w: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D30B7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>Предложения:</w:t>
      </w: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A25CF" w:rsidRPr="008A25CF" w:rsidRDefault="008A25CF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270" w:rsidRDefault="008F1270" w:rsidP="008A25C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8A25CF" w:rsidRPr="008A25CF" w:rsidRDefault="008A25CF" w:rsidP="008A25C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C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</w:t>
      </w:r>
      <w:r w:rsidRPr="008A25CF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                          /____________/</w:t>
      </w:r>
    </w:p>
    <w:p w:rsidR="008A25CF" w:rsidRPr="000621A4" w:rsidRDefault="008A25CF" w:rsidP="00F45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25CF" w:rsidRPr="000621A4" w:rsidSect="00E43C98">
      <w:footerReference w:type="default" r:id="rId8"/>
      <w:pgSz w:w="11906" w:h="16838"/>
      <w:pgMar w:top="1134" w:right="851" w:bottom="567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B" w:rsidRDefault="000D46DB" w:rsidP="00C51D7D">
      <w:r>
        <w:separator/>
      </w:r>
    </w:p>
  </w:endnote>
  <w:endnote w:type="continuationSeparator" w:id="0">
    <w:p w:rsidR="000D46DB" w:rsidRDefault="000D46DB" w:rsidP="00C5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2446"/>
      <w:docPartObj>
        <w:docPartGallery w:val="Page Numbers (Bottom of Page)"/>
        <w:docPartUnique/>
      </w:docPartObj>
    </w:sdtPr>
    <w:sdtEndPr/>
    <w:sdtContent>
      <w:p w:rsidR="00013EB0" w:rsidRDefault="00672B1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EB0" w:rsidRDefault="00013E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B" w:rsidRDefault="000D46DB" w:rsidP="00C51D7D">
      <w:r>
        <w:separator/>
      </w:r>
    </w:p>
  </w:footnote>
  <w:footnote w:type="continuationSeparator" w:id="0">
    <w:p w:rsidR="000D46DB" w:rsidRDefault="000D46DB" w:rsidP="00C5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0B"/>
    <w:multiLevelType w:val="hybridMultilevel"/>
    <w:tmpl w:val="B478DBFA"/>
    <w:lvl w:ilvl="0" w:tplc="F27633B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0C75A51"/>
    <w:multiLevelType w:val="hybridMultilevel"/>
    <w:tmpl w:val="8760FFC0"/>
    <w:lvl w:ilvl="0" w:tplc="970298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B70"/>
    <w:multiLevelType w:val="multilevel"/>
    <w:tmpl w:val="DA800042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2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0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DCC60A6"/>
    <w:multiLevelType w:val="multilevel"/>
    <w:tmpl w:val="15ACB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233D23B0"/>
    <w:multiLevelType w:val="hybridMultilevel"/>
    <w:tmpl w:val="5F2EC7FE"/>
    <w:lvl w:ilvl="0" w:tplc="8E0CECD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7A5155F"/>
    <w:multiLevelType w:val="hybridMultilevel"/>
    <w:tmpl w:val="27C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726C"/>
    <w:multiLevelType w:val="hybridMultilevel"/>
    <w:tmpl w:val="E4B8059A"/>
    <w:lvl w:ilvl="0" w:tplc="FBF6A0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0119"/>
    <w:multiLevelType w:val="hybridMultilevel"/>
    <w:tmpl w:val="57282D9C"/>
    <w:lvl w:ilvl="0" w:tplc="CBC84A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B544C"/>
    <w:multiLevelType w:val="hybridMultilevel"/>
    <w:tmpl w:val="4FD87DFA"/>
    <w:lvl w:ilvl="0" w:tplc="1A661D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5E2"/>
    <w:multiLevelType w:val="hybridMultilevel"/>
    <w:tmpl w:val="7DDE3436"/>
    <w:lvl w:ilvl="0" w:tplc="E452CFB2">
      <w:start w:val="1"/>
      <w:numFmt w:val="decimal"/>
      <w:lvlText w:val="%1."/>
      <w:lvlJc w:val="left"/>
      <w:pPr>
        <w:ind w:left="2487" w:hanging="360"/>
      </w:pPr>
      <w:rPr>
        <w:rFonts w:ascii="Cambria" w:eastAsia="Times New Roman" w:hAnsi="Cambr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6D4C"/>
    <w:multiLevelType w:val="multilevel"/>
    <w:tmpl w:val="9774D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3209383E"/>
    <w:multiLevelType w:val="multilevel"/>
    <w:tmpl w:val="9EC0C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2" w15:restartNumberingAfterBreak="0">
    <w:nsid w:val="3E9473FF"/>
    <w:multiLevelType w:val="hybridMultilevel"/>
    <w:tmpl w:val="099AB62C"/>
    <w:lvl w:ilvl="0" w:tplc="83E4694C">
      <w:start w:val="1"/>
      <w:numFmt w:val="decimal"/>
      <w:lvlText w:val="%1."/>
      <w:lvlJc w:val="left"/>
      <w:pPr>
        <w:ind w:left="2771" w:hanging="360"/>
      </w:pPr>
      <w:rPr>
        <w:rFonts w:ascii="Arial" w:eastAsiaTheme="minorEastAsia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43C22F89"/>
    <w:multiLevelType w:val="multilevel"/>
    <w:tmpl w:val="A6C8C58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 w15:restartNumberingAfterBreak="0">
    <w:nsid w:val="46AA33C3"/>
    <w:multiLevelType w:val="multilevel"/>
    <w:tmpl w:val="01FA2E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 w15:restartNumberingAfterBreak="0">
    <w:nsid w:val="49E06114"/>
    <w:multiLevelType w:val="multilevel"/>
    <w:tmpl w:val="235CEB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 w15:restartNumberingAfterBreak="0">
    <w:nsid w:val="4B176792"/>
    <w:multiLevelType w:val="multilevel"/>
    <w:tmpl w:val="53124D2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7F113E1"/>
    <w:multiLevelType w:val="multilevel"/>
    <w:tmpl w:val="8AB85B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D1"/>
    <w:rsid w:val="000111D8"/>
    <w:rsid w:val="00011CD3"/>
    <w:rsid w:val="00013EB0"/>
    <w:rsid w:val="00016F8D"/>
    <w:rsid w:val="00022629"/>
    <w:rsid w:val="0002312B"/>
    <w:rsid w:val="00025FED"/>
    <w:rsid w:val="0005568B"/>
    <w:rsid w:val="000604A1"/>
    <w:rsid w:val="00061681"/>
    <w:rsid w:val="000621A4"/>
    <w:rsid w:val="000674BC"/>
    <w:rsid w:val="0007073C"/>
    <w:rsid w:val="000722C3"/>
    <w:rsid w:val="000731EB"/>
    <w:rsid w:val="000855F5"/>
    <w:rsid w:val="00086D30"/>
    <w:rsid w:val="000940ED"/>
    <w:rsid w:val="00096B76"/>
    <w:rsid w:val="000A2CB2"/>
    <w:rsid w:val="000D2546"/>
    <w:rsid w:val="000D46DB"/>
    <w:rsid w:val="00101E69"/>
    <w:rsid w:val="001173AF"/>
    <w:rsid w:val="00131454"/>
    <w:rsid w:val="00134381"/>
    <w:rsid w:val="001370C6"/>
    <w:rsid w:val="001536E7"/>
    <w:rsid w:val="00154820"/>
    <w:rsid w:val="00157672"/>
    <w:rsid w:val="001576CB"/>
    <w:rsid w:val="00163607"/>
    <w:rsid w:val="0016642C"/>
    <w:rsid w:val="00172DE7"/>
    <w:rsid w:val="00174626"/>
    <w:rsid w:val="00175F1D"/>
    <w:rsid w:val="00185A48"/>
    <w:rsid w:val="001943EC"/>
    <w:rsid w:val="00194DB3"/>
    <w:rsid w:val="001976A8"/>
    <w:rsid w:val="001B6205"/>
    <w:rsid w:val="001C330A"/>
    <w:rsid w:val="001C7435"/>
    <w:rsid w:val="001E6E49"/>
    <w:rsid w:val="0020155D"/>
    <w:rsid w:val="002019F5"/>
    <w:rsid w:val="00203704"/>
    <w:rsid w:val="00206728"/>
    <w:rsid w:val="00206A3A"/>
    <w:rsid w:val="00226E6C"/>
    <w:rsid w:val="00240307"/>
    <w:rsid w:val="00241FC4"/>
    <w:rsid w:val="00246C0F"/>
    <w:rsid w:val="00253B34"/>
    <w:rsid w:val="00257556"/>
    <w:rsid w:val="00271E35"/>
    <w:rsid w:val="00293B30"/>
    <w:rsid w:val="002A5573"/>
    <w:rsid w:val="002B08FB"/>
    <w:rsid w:val="002B097F"/>
    <w:rsid w:val="002B2B2A"/>
    <w:rsid w:val="002C40B7"/>
    <w:rsid w:val="002C60DC"/>
    <w:rsid w:val="002D077F"/>
    <w:rsid w:val="002E08EF"/>
    <w:rsid w:val="002E0A96"/>
    <w:rsid w:val="002E7A0A"/>
    <w:rsid w:val="002F0BD2"/>
    <w:rsid w:val="002F7393"/>
    <w:rsid w:val="00300D05"/>
    <w:rsid w:val="00303888"/>
    <w:rsid w:val="00320340"/>
    <w:rsid w:val="003319F7"/>
    <w:rsid w:val="003364C1"/>
    <w:rsid w:val="00343D30"/>
    <w:rsid w:val="00345C4C"/>
    <w:rsid w:val="003563ED"/>
    <w:rsid w:val="00357318"/>
    <w:rsid w:val="00362855"/>
    <w:rsid w:val="0036466C"/>
    <w:rsid w:val="00370B56"/>
    <w:rsid w:val="00374418"/>
    <w:rsid w:val="00375DB1"/>
    <w:rsid w:val="003767AF"/>
    <w:rsid w:val="00377A50"/>
    <w:rsid w:val="00383545"/>
    <w:rsid w:val="003855DC"/>
    <w:rsid w:val="00394291"/>
    <w:rsid w:val="003A441F"/>
    <w:rsid w:val="003B6397"/>
    <w:rsid w:val="003C6529"/>
    <w:rsid w:val="003D261A"/>
    <w:rsid w:val="003D2CA6"/>
    <w:rsid w:val="003D30B7"/>
    <w:rsid w:val="003D664C"/>
    <w:rsid w:val="003E13BB"/>
    <w:rsid w:val="003E38DD"/>
    <w:rsid w:val="004243EA"/>
    <w:rsid w:val="0045399A"/>
    <w:rsid w:val="00472A86"/>
    <w:rsid w:val="00476880"/>
    <w:rsid w:val="00483906"/>
    <w:rsid w:val="00487543"/>
    <w:rsid w:val="0049207F"/>
    <w:rsid w:val="004A7098"/>
    <w:rsid w:val="004C6BA7"/>
    <w:rsid w:val="004C7857"/>
    <w:rsid w:val="004C7886"/>
    <w:rsid w:val="004D1667"/>
    <w:rsid w:val="004D7EBC"/>
    <w:rsid w:val="004F77D4"/>
    <w:rsid w:val="00502B9A"/>
    <w:rsid w:val="005069B0"/>
    <w:rsid w:val="00510835"/>
    <w:rsid w:val="0051308D"/>
    <w:rsid w:val="005205B7"/>
    <w:rsid w:val="00530354"/>
    <w:rsid w:val="00543E31"/>
    <w:rsid w:val="00560162"/>
    <w:rsid w:val="00560E07"/>
    <w:rsid w:val="00562ADC"/>
    <w:rsid w:val="005661ED"/>
    <w:rsid w:val="00595A47"/>
    <w:rsid w:val="00596262"/>
    <w:rsid w:val="005A1184"/>
    <w:rsid w:val="005A35CD"/>
    <w:rsid w:val="005A63D8"/>
    <w:rsid w:val="005D52F2"/>
    <w:rsid w:val="005D69B4"/>
    <w:rsid w:val="005D7D90"/>
    <w:rsid w:val="005E7E8A"/>
    <w:rsid w:val="005F326C"/>
    <w:rsid w:val="006068DF"/>
    <w:rsid w:val="00614551"/>
    <w:rsid w:val="006310D1"/>
    <w:rsid w:val="00653173"/>
    <w:rsid w:val="00660D5F"/>
    <w:rsid w:val="00672770"/>
    <w:rsid w:val="00672B1E"/>
    <w:rsid w:val="006831B9"/>
    <w:rsid w:val="0068798D"/>
    <w:rsid w:val="006969B7"/>
    <w:rsid w:val="006A5CB3"/>
    <w:rsid w:val="006B65DB"/>
    <w:rsid w:val="006C7926"/>
    <w:rsid w:val="006D31BF"/>
    <w:rsid w:val="006E11FF"/>
    <w:rsid w:val="006E52B8"/>
    <w:rsid w:val="007175F1"/>
    <w:rsid w:val="00751076"/>
    <w:rsid w:val="00753B82"/>
    <w:rsid w:val="00760AB4"/>
    <w:rsid w:val="00763116"/>
    <w:rsid w:val="00770E4A"/>
    <w:rsid w:val="0078040E"/>
    <w:rsid w:val="007830EF"/>
    <w:rsid w:val="00783110"/>
    <w:rsid w:val="00786645"/>
    <w:rsid w:val="007906C8"/>
    <w:rsid w:val="007A723F"/>
    <w:rsid w:val="007D3C03"/>
    <w:rsid w:val="007E1EDC"/>
    <w:rsid w:val="007E3014"/>
    <w:rsid w:val="007E5A25"/>
    <w:rsid w:val="007E63CA"/>
    <w:rsid w:val="007E77BF"/>
    <w:rsid w:val="007F423A"/>
    <w:rsid w:val="00802D90"/>
    <w:rsid w:val="00803EFC"/>
    <w:rsid w:val="00804F35"/>
    <w:rsid w:val="0081734B"/>
    <w:rsid w:val="00826853"/>
    <w:rsid w:val="00834538"/>
    <w:rsid w:val="00835CC6"/>
    <w:rsid w:val="00835D86"/>
    <w:rsid w:val="008377DE"/>
    <w:rsid w:val="00864613"/>
    <w:rsid w:val="0086513A"/>
    <w:rsid w:val="00877057"/>
    <w:rsid w:val="008865A4"/>
    <w:rsid w:val="0089167B"/>
    <w:rsid w:val="008A1C7B"/>
    <w:rsid w:val="008A25CF"/>
    <w:rsid w:val="008B5A31"/>
    <w:rsid w:val="008D1564"/>
    <w:rsid w:val="008D55DF"/>
    <w:rsid w:val="008F0835"/>
    <w:rsid w:val="008F1270"/>
    <w:rsid w:val="008F38CF"/>
    <w:rsid w:val="0090344C"/>
    <w:rsid w:val="009039B5"/>
    <w:rsid w:val="00906D45"/>
    <w:rsid w:val="00914700"/>
    <w:rsid w:val="00920A2A"/>
    <w:rsid w:val="009410A5"/>
    <w:rsid w:val="009422EC"/>
    <w:rsid w:val="009606C2"/>
    <w:rsid w:val="00973398"/>
    <w:rsid w:val="009803E8"/>
    <w:rsid w:val="009942BC"/>
    <w:rsid w:val="00996FD3"/>
    <w:rsid w:val="00997E51"/>
    <w:rsid w:val="009B282E"/>
    <w:rsid w:val="009B6ED6"/>
    <w:rsid w:val="009C0994"/>
    <w:rsid w:val="009C52F3"/>
    <w:rsid w:val="009D2AA3"/>
    <w:rsid w:val="009D7E59"/>
    <w:rsid w:val="009E7DE1"/>
    <w:rsid w:val="009F1F95"/>
    <w:rsid w:val="009F3E90"/>
    <w:rsid w:val="00A0033B"/>
    <w:rsid w:val="00A21EF8"/>
    <w:rsid w:val="00A56962"/>
    <w:rsid w:val="00A60BF5"/>
    <w:rsid w:val="00A62280"/>
    <w:rsid w:val="00A62AC3"/>
    <w:rsid w:val="00A7197C"/>
    <w:rsid w:val="00A71B61"/>
    <w:rsid w:val="00A76159"/>
    <w:rsid w:val="00A83D78"/>
    <w:rsid w:val="00A84201"/>
    <w:rsid w:val="00A9526C"/>
    <w:rsid w:val="00AA3DEE"/>
    <w:rsid w:val="00AB7FE6"/>
    <w:rsid w:val="00AC0EB7"/>
    <w:rsid w:val="00B13ED7"/>
    <w:rsid w:val="00B6082B"/>
    <w:rsid w:val="00B723FC"/>
    <w:rsid w:val="00B7433C"/>
    <w:rsid w:val="00B84F08"/>
    <w:rsid w:val="00B91DE7"/>
    <w:rsid w:val="00B92D94"/>
    <w:rsid w:val="00BE02B0"/>
    <w:rsid w:val="00C01D8C"/>
    <w:rsid w:val="00C04688"/>
    <w:rsid w:val="00C05983"/>
    <w:rsid w:val="00C15AFE"/>
    <w:rsid w:val="00C26A71"/>
    <w:rsid w:val="00C452E1"/>
    <w:rsid w:val="00C50BB4"/>
    <w:rsid w:val="00C51D7D"/>
    <w:rsid w:val="00C52EDA"/>
    <w:rsid w:val="00C53F13"/>
    <w:rsid w:val="00C543FC"/>
    <w:rsid w:val="00C60FE1"/>
    <w:rsid w:val="00C74403"/>
    <w:rsid w:val="00C77D55"/>
    <w:rsid w:val="00C923DE"/>
    <w:rsid w:val="00C94692"/>
    <w:rsid w:val="00CA0C96"/>
    <w:rsid w:val="00CB01C9"/>
    <w:rsid w:val="00CB7FE8"/>
    <w:rsid w:val="00CC5941"/>
    <w:rsid w:val="00CD03F0"/>
    <w:rsid w:val="00CD296F"/>
    <w:rsid w:val="00CD2E5C"/>
    <w:rsid w:val="00CD43CD"/>
    <w:rsid w:val="00CD4CC1"/>
    <w:rsid w:val="00CE00A9"/>
    <w:rsid w:val="00CE16F9"/>
    <w:rsid w:val="00CE45F6"/>
    <w:rsid w:val="00D02011"/>
    <w:rsid w:val="00D0209B"/>
    <w:rsid w:val="00D0235B"/>
    <w:rsid w:val="00D028C3"/>
    <w:rsid w:val="00D1612A"/>
    <w:rsid w:val="00D17D5C"/>
    <w:rsid w:val="00D32707"/>
    <w:rsid w:val="00D36D60"/>
    <w:rsid w:val="00D654FA"/>
    <w:rsid w:val="00D81C28"/>
    <w:rsid w:val="00DA16C4"/>
    <w:rsid w:val="00DA3D2E"/>
    <w:rsid w:val="00DC7F25"/>
    <w:rsid w:val="00DD6FDC"/>
    <w:rsid w:val="00DF480D"/>
    <w:rsid w:val="00DF567F"/>
    <w:rsid w:val="00DF7F78"/>
    <w:rsid w:val="00E03CC3"/>
    <w:rsid w:val="00E0527F"/>
    <w:rsid w:val="00E07976"/>
    <w:rsid w:val="00E304F4"/>
    <w:rsid w:val="00E30D14"/>
    <w:rsid w:val="00E37979"/>
    <w:rsid w:val="00E40B61"/>
    <w:rsid w:val="00E43C98"/>
    <w:rsid w:val="00E45E4B"/>
    <w:rsid w:val="00E91DC1"/>
    <w:rsid w:val="00E943CC"/>
    <w:rsid w:val="00EA5EA2"/>
    <w:rsid w:val="00EC2D9C"/>
    <w:rsid w:val="00EC398A"/>
    <w:rsid w:val="00ED0D79"/>
    <w:rsid w:val="00EE5737"/>
    <w:rsid w:val="00EE619D"/>
    <w:rsid w:val="00EF0A23"/>
    <w:rsid w:val="00EF6311"/>
    <w:rsid w:val="00F01969"/>
    <w:rsid w:val="00F02E87"/>
    <w:rsid w:val="00F04420"/>
    <w:rsid w:val="00F10F94"/>
    <w:rsid w:val="00F262A3"/>
    <w:rsid w:val="00F363BD"/>
    <w:rsid w:val="00F36E62"/>
    <w:rsid w:val="00F43A1F"/>
    <w:rsid w:val="00F45EE8"/>
    <w:rsid w:val="00F4712F"/>
    <w:rsid w:val="00F47F12"/>
    <w:rsid w:val="00F50208"/>
    <w:rsid w:val="00F529DC"/>
    <w:rsid w:val="00F7147F"/>
    <w:rsid w:val="00FA3D2F"/>
    <w:rsid w:val="00FA5F40"/>
    <w:rsid w:val="00FB4877"/>
    <w:rsid w:val="00FC1E85"/>
    <w:rsid w:val="00FC78EB"/>
    <w:rsid w:val="00FD7AC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CAB8"/>
  <w15:docId w15:val="{395712C3-E9E9-4036-8261-49B3358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8A1C7B"/>
    <w:pPr>
      <w:keepNext/>
      <w:widowControl/>
      <w:autoSpaceDE/>
      <w:autoSpaceDN/>
      <w:adjustRightInd/>
      <w:spacing w:before="120" w:after="240" w:line="360" w:lineRule="auto"/>
      <w:ind w:firstLine="780"/>
      <w:jc w:val="center"/>
      <w:outlineLvl w:val="0"/>
    </w:pPr>
    <w:rPr>
      <w:rFonts w:ascii="Times New Roman" w:eastAsia="Times New Roman" w:hAnsi="Times New Roman" w:cs="Times New Roman"/>
      <w:caps/>
      <w:shadow/>
      <w:kern w:val="144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2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8A1C7B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eastAsia="Times New Roman" w:hAnsi="Times New Roman" w:cs="Times New Roman"/>
      <w:b/>
      <w:bCs/>
      <w:i/>
      <w:iCs/>
      <w:shadow/>
      <w:spacing w:val="20"/>
      <w:kern w:val="14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1C7B"/>
    <w:pPr>
      <w:keepNext/>
      <w:widowControl/>
      <w:autoSpaceDE/>
      <w:autoSpaceDN/>
      <w:adjustRightInd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kern w:val="144"/>
      <w:sz w:val="24"/>
      <w:szCs w:val="20"/>
    </w:rPr>
  </w:style>
  <w:style w:type="paragraph" w:styleId="6">
    <w:name w:val="heading 6"/>
    <w:basedOn w:val="a"/>
    <w:next w:val="a"/>
    <w:link w:val="60"/>
    <w:qFormat/>
    <w:rsid w:val="008A1C7B"/>
    <w:pPr>
      <w:keepNext/>
      <w:widowControl/>
      <w:autoSpaceDE/>
      <w:autoSpaceDN/>
      <w:adjustRightInd/>
      <w:outlineLvl w:val="5"/>
    </w:pPr>
    <w:rPr>
      <w:rFonts w:ascii="Times New Roman" w:eastAsia="Times New Roman" w:hAnsi="Times New Roman" w:cs="Times New Roman"/>
      <w:b/>
      <w:kern w:val="144"/>
      <w:sz w:val="24"/>
      <w:szCs w:val="20"/>
      <w:u w:val="single"/>
    </w:rPr>
  </w:style>
  <w:style w:type="paragraph" w:styleId="7">
    <w:name w:val="heading 7"/>
    <w:basedOn w:val="a"/>
    <w:next w:val="a"/>
    <w:link w:val="70"/>
    <w:unhideWhenUsed/>
    <w:qFormat/>
    <w:rsid w:val="00EE61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E61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E61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C7B"/>
    <w:rPr>
      <w:caps/>
      <w:shadow/>
      <w:kern w:val="14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62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A1C7B"/>
    <w:rPr>
      <w:b/>
      <w:bCs/>
      <w:i/>
      <w:iCs/>
      <w:shadow/>
      <w:spacing w:val="20"/>
      <w:kern w:val="144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A1C7B"/>
    <w:rPr>
      <w:b/>
      <w:bCs/>
      <w:kern w:val="144"/>
      <w:sz w:val="24"/>
    </w:rPr>
  </w:style>
  <w:style w:type="character" w:customStyle="1" w:styleId="60">
    <w:name w:val="Заголовок 6 Знак"/>
    <w:basedOn w:val="a0"/>
    <w:link w:val="6"/>
    <w:rsid w:val="008A1C7B"/>
    <w:rPr>
      <w:b/>
      <w:kern w:val="144"/>
      <w:sz w:val="24"/>
      <w:u w:val="single"/>
    </w:rPr>
  </w:style>
  <w:style w:type="character" w:customStyle="1" w:styleId="70">
    <w:name w:val="Заголовок 7 Знак"/>
    <w:basedOn w:val="a0"/>
    <w:link w:val="7"/>
    <w:rsid w:val="00EE6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EE61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EE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8A1C7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A1C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A1C7B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1C7B"/>
    <w:rPr>
      <w:rFonts w:ascii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6310D1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4920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1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D7D"/>
    <w:rPr>
      <w:rFonts w:ascii="Arial" w:eastAsiaTheme="minorEastAsia" w:hAnsi="Arial" w:cs="Arial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51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1D7D"/>
    <w:rPr>
      <w:rFonts w:ascii="Arial" w:eastAsiaTheme="minorEastAsia" w:hAnsi="Arial" w:cs="Arial"/>
      <w:sz w:val="22"/>
      <w:szCs w:val="22"/>
    </w:rPr>
  </w:style>
  <w:style w:type="character" w:styleId="ad">
    <w:name w:val="Emphasis"/>
    <w:basedOn w:val="a0"/>
    <w:qFormat/>
    <w:rsid w:val="00562ADC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562ADC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aps w:val="0"/>
      <w:shadow w:val="0"/>
      <w:color w:val="365F91" w:themeColor="accent1" w:themeShade="BF"/>
      <w:kern w:val="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62AD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175F1D"/>
    <w:pPr>
      <w:tabs>
        <w:tab w:val="left" w:pos="440"/>
        <w:tab w:val="right" w:leader="dot" w:pos="9344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62ADC"/>
    <w:rPr>
      <w:color w:val="0000FF" w:themeColor="hyperlink"/>
      <w:u w:val="single"/>
    </w:rPr>
  </w:style>
  <w:style w:type="paragraph" w:customStyle="1" w:styleId="af0">
    <w:name w:val="Таблицы (моноширинный)"/>
    <w:basedOn w:val="a"/>
    <w:next w:val="a"/>
    <w:rsid w:val="00AB7FE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AB7FE6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B7FE6"/>
    <w:pPr>
      <w:jc w:val="both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B7FE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3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64C1"/>
    <w:rPr>
      <w:rFonts w:ascii="Tahoma" w:eastAsiaTheme="minorEastAsia" w:hAnsi="Tahoma" w:cs="Tahoma"/>
      <w:sz w:val="16"/>
      <w:szCs w:val="16"/>
    </w:rPr>
  </w:style>
  <w:style w:type="paragraph" w:styleId="af6">
    <w:name w:val="footnote text"/>
    <w:basedOn w:val="a"/>
    <w:link w:val="af7"/>
    <w:semiHidden/>
    <w:rsid w:val="007906C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906C8"/>
  </w:style>
  <w:style w:type="character" w:styleId="af8">
    <w:name w:val="footnote reference"/>
    <w:basedOn w:val="a0"/>
    <w:semiHidden/>
    <w:rsid w:val="007906C8"/>
    <w:rPr>
      <w:vertAlign w:val="superscript"/>
    </w:rPr>
  </w:style>
  <w:style w:type="table" w:styleId="af9">
    <w:name w:val="Table Grid"/>
    <w:basedOn w:val="a1"/>
    <w:uiPriority w:val="59"/>
    <w:rsid w:val="002B0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"/>
    <w:next w:val="a"/>
    <w:autoRedefine/>
    <w:uiPriority w:val="39"/>
    <w:semiHidden/>
    <w:unhideWhenUsed/>
    <w:qFormat/>
    <w:rsid w:val="00FB4877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114C-4389-448E-BEFE-626BDE31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19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Наталья Червоняк</cp:lastModifiedBy>
  <cp:revision>33</cp:revision>
  <cp:lastPrinted>2024-01-22T05:00:00Z</cp:lastPrinted>
  <dcterms:created xsi:type="dcterms:W3CDTF">2018-05-31T05:49:00Z</dcterms:created>
  <dcterms:modified xsi:type="dcterms:W3CDTF">2024-01-22T05:01:00Z</dcterms:modified>
</cp:coreProperties>
</file>