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3" w:rsidRPr="004A02B8" w:rsidRDefault="00D07053" w:rsidP="00D0705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ОБЪЯВЛЕНИЕ</w:t>
      </w:r>
    </w:p>
    <w:p w:rsidR="00D07053" w:rsidRPr="004A02B8" w:rsidRDefault="00D07053" w:rsidP="00D0705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проведении в</w:t>
      </w:r>
      <w:r w:rsidRPr="004A02B8">
        <w:rPr>
          <w:rFonts w:eastAsiaTheme="minorHAnsi"/>
          <w:b/>
          <w:sz w:val="28"/>
          <w:szCs w:val="28"/>
          <w:lang w:eastAsia="en-US"/>
        </w:rPr>
        <w:t xml:space="preserve"> 2024 году</w:t>
      </w:r>
      <w:r>
        <w:rPr>
          <w:rFonts w:eastAsiaTheme="minorHAnsi"/>
          <w:b/>
          <w:sz w:val="28"/>
          <w:szCs w:val="28"/>
          <w:lang w:eastAsia="en-US"/>
        </w:rPr>
        <w:t xml:space="preserve"> отбора заявок для получения субсидии </w:t>
      </w:r>
      <w:r w:rsidRPr="004A02B8">
        <w:rPr>
          <w:rFonts w:eastAsiaTheme="minorHAnsi"/>
          <w:b/>
          <w:sz w:val="28"/>
          <w:szCs w:val="28"/>
          <w:lang w:eastAsia="en-US"/>
        </w:rPr>
        <w:t>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D07053" w:rsidRPr="004A02B8" w:rsidRDefault="00D07053" w:rsidP="00D0705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07053" w:rsidRPr="004A02B8" w:rsidRDefault="00D07053" w:rsidP="00D0705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02B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D07053" w:rsidRPr="004A02B8" w:rsidRDefault="00D07053" w:rsidP="00D07053">
      <w:pPr>
        <w:spacing w:line="276" w:lineRule="auto"/>
        <w:rPr>
          <w:rFonts w:eastAsiaTheme="minorHAnsi"/>
          <w:lang w:eastAsia="en-US"/>
        </w:rPr>
      </w:pPr>
    </w:p>
    <w:p w:rsidR="00D07053" w:rsidRPr="004A02B8" w:rsidRDefault="00D07053" w:rsidP="00AF0925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Настоящее объявление подготовлено в целях проведения</w:t>
      </w:r>
      <w:r w:rsidRPr="004A02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2024 году отбора для </w:t>
      </w:r>
      <w:r w:rsidRPr="004A02B8">
        <w:rPr>
          <w:rFonts w:eastAsiaTheme="minorHAnsi"/>
          <w:sz w:val="28"/>
          <w:szCs w:val="28"/>
          <w:lang w:eastAsia="en-US"/>
        </w:rPr>
        <w:t xml:space="preserve">предоставления в 2024 году из бюджета городского округа Анадырь  субсидии субъектам предпринимательской деятельности </w:t>
      </w:r>
      <w:r w:rsidRPr="004A02B8">
        <w:rPr>
          <w:rFonts w:eastAsiaTheme="minorHAnsi"/>
          <w:b/>
          <w:sz w:val="28"/>
          <w:szCs w:val="28"/>
          <w:lang w:eastAsia="en-US"/>
        </w:rPr>
        <w:t>на частичное возмещение затрат</w:t>
      </w:r>
      <w:r w:rsidRPr="004A02B8">
        <w:rPr>
          <w:rFonts w:eastAsiaTheme="minorHAnsi"/>
          <w:sz w:val="28"/>
          <w:szCs w:val="28"/>
          <w:lang w:eastAsia="en-US"/>
        </w:rPr>
        <w:t xml:space="preserve">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 (далее – Субсидия), </w:t>
      </w:r>
      <w:r>
        <w:rPr>
          <w:rFonts w:eastAsiaTheme="minorHAnsi"/>
          <w:sz w:val="28"/>
          <w:szCs w:val="28"/>
          <w:lang w:eastAsia="en-US"/>
        </w:rPr>
        <w:t xml:space="preserve">и заключения соглашений между Администрацией городского округа Анадырь (далее-Администрация) </w:t>
      </w:r>
      <w:r w:rsidRPr="00D07053">
        <w:rPr>
          <w:rFonts w:eastAsiaTheme="minorHAnsi"/>
          <w:sz w:val="28"/>
          <w:szCs w:val="28"/>
          <w:lang w:eastAsia="en-US"/>
        </w:rPr>
        <w:t xml:space="preserve">и субъектом предпринимательской деятельности (далее - Получатели субсидии) о предоставлении субсидии (далее - Соглашение) в соответствии с </w:t>
      </w:r>
      <w:r>
        <w:rPr>
          <w:rFonts w:eastAsiaTheme="minorHAnsi"/>
          <w:sz w:val="28"/>
          <w:szCs w:val="28"/>
          <w:lang w:eastAsia="en-US"/>
        </w:rPr>
        <w:t>Порядком о предоставлении в 2024</w:t>
      </w:r>
      <w:r w:rsidRPr="00D07053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 xml:space="preserve">субсидии из бюджета </w:t>
      </w:r>
      <w:r w:rsidRPr="00D07053">
        <w:rPr>
          <w:rFonts w:eastAsiaTheme="minorHAnsi"/>
          <w:sz w:val="28"/>
          <w:szCs w:val="28"/>
          <w:lang w:eastAsia="en-US"/>
        </w:rPr>
        <w:t>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Анадырь, утвержденным Постановлением Администрации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Анадырь от 15 августа 2024 года № 605</w:t>
      </w:r>
      <w:r w:rsidRPr="00D07053">
        <w:rPr>
          <w:rFonts w:eastAsiaTheme="minorHAnsi"/>
          <w:sz w:val="28"/>
          <w:szCs w:val="28"/>
          <w:lang w:eastAsia="en-US"/>
        </w:rPr>
        <w:t xml:space="preserve"> (далее - Порядок).</w:t>
      </w:r>
    </w:p>
    <w:p w:rsidR="001262D8" w:rsidRDefault="00D07053" w:rsidP="00AF0925">
      <w:pPr>
        <w:ind w:firstLine="709"/>
        <w:jc w:val="both"/>
        <w:rPr>
          <w:sz w:val="28"/>
        </w:rPr>
      </w:pPr>
      <w:r w:rsidRPr="00D07053">
        <w:rPr>
          <w:sz w:val="28"/>
        </w:rPr>
        <w:t>1.2.</w:t>
      </w:r>
      <w:r w:rsidRPr="00D07053">
        <w:rPr>
          <w:sz w:val="28"/>
        </w:rPr>
        <w:tab/>
        <w:t>Отбор проводится путем запроса предложений (заявок), направленных субъектами предпринимательской деятельности в Администрацию для участия в отборе.</w:t>
      </w:r>
    </w:p>
    <w:p w:rsidR="00D07053" w:rsidRDefault="00D07053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709"/>
        <w:jc w:val="both"/>
        <w:rPr>
          <w:sz w:val="28"/>
        </w:rPr>
      </w:pPr>
      <w:r w:rsidRPr="00D07053">
        <w:rPr>
          <w:sz w:val="28"/>
        </w:rPr>
        <w:t>1.3.</w:t>
      </w:r>
      <w:r w:rsidRPr="00D07053">
        <w:rPr>
          <w:sz w:val="28"/>
        </w:rPr>
        <w:tab/>
        <w:t>Проведение отбора осуществляется Администрацией.</w:t>
      </w:r>
    </w:p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>
        <w:rPr>
          <w:sz w:val="28"/>
        </w:rPr>
        <w:tab/>
      </w:r>
    </w:p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 xml:space="preserve">2. </w:t>
      </w:r>
      <w:r w:rsidRPr="00D07053">
        <w:rPr>
          <w:b/>
          <w:bCs/>
          <w:sz w:val="28"/>
          <w:lang w:bidi="ru-RU"/>
        </w:rPr>
        <w:t>Сроки проведения отбора, даты начала и окончания подачи заявок на участие</w:t>
      </w:r>
      <w:bookmarkStart w:id="0" w:name="bookmark2"/>
      <w:bookmarkStart w:id="1" w:name="bookmark3"/>
      <w:r>
        <w:rPr>
          <w:sz w:val="28"/>
          <w:lang w:bidi="ru-RU"/>
        </w:rPr>
        <w:t xml:space="preserve"> </w:t>
      </w:r>
      <w:r w:rsidRPr="00D07053">
        <w:rPr>
          <w:b/>
          <w:bCs/>
          <w:sz w:val="28"/>
          <w:lang w:bidi="ru-RU"/>
        </w:rPr>
        <w:t>в отборе.</w:t>
      </w:r>
      <w:bookmarkEnd w:id="0"/>
      <w:bookmarkEnd w:id="1"/>
    </w:p>
    <w:p w:rsidR="00D07053" w:rsidRP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sz w:val="28"/>
          <w:lang w:bidi="ru-RU"/>
        </w:rPr>
      </w:pPr>
    </w:p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  <w:lang w:bidi="ru-RU"/>
        </w:rPr>
      </w:pPr>
      <w:r>
        <w:rPr>
          <w:sz w:val="28"/>
          <w:lang w:bidi="ru-RU"/>
        </w:rPr>
        <w:t>Отбор проводится в 2024</w:t>
      </w:r>
      <w:r w:rsidRPr="00D07053">
        <w:rPr>
          <w:sz w:val="28"/>
          <w:lang w:bidi="ru-RU"/>
        </w:rPr>
        <w:t xml:space="preserve"> году в следующие сроки:</w:t>
      </w:r>
    </w:p>
    <w:p w:rsidR="00D07053" w:rsidRP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7053" w:rsidTr="00D07053">
        <w:trPr>
          <w:trHeight w:val="746"/>
        </w:trPr>
        <w:tc>
          <w:tcPr>
            <w:tcW w:w="4672" w:type="dxa"/>
          </w:tcPr>
          <w:p w:rsidR="00D07053" w:rsidRPr="004C7E90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 на участие в отборе</w:t>
            </w:r>
          </w:p>
        </w:tc>
        <w:tc>
          <w:tcPr>
            <w:tcW w:w="4673" w:type="dxa"/>
            <w:vAlign w:val="bottom"/>
          </w:tcPr>
          <w:p w:rsidR="00D07053" w:rsidRPr="004C7E90" w:rsidRDefault="00D07053" w:rsidP="00D07053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eastAsia="ru-RU" w:bidi="ru-RU"/>
              </w:rPr>
              <w:t>09 сентября 2024 г.</w:t>
            </w:r>
          </w:p>
          <w:p w:rsidR="00D07053" w:rsidRPr="004C7E90" w:rsidRDefault="00D07053" w:rsidP="00D07053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eastAsia="ru-RU" w:bidi="ru-RU"/>
              </w:rPr>
              <w:t>12:00 ч. (по местному времени)</w:t>
            </w:r>
          </w:p>
        </w:tc>
      </w:tr>
      <w:tr w:rsidR="00D07053" w:rsidTr="00D07053">
        <w:trPr>
          <w:trHeight w:val="701"/>
        </w:trPr>
        <w:tc>
          <w:tcPr>
            <w:tcW w:w="4672" w:type="dxa"/>
          </w:tcPr>
          <w:p w:rsidR="00D07053" w:rsidRPr="004C7E90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 на участие в отборе</w:t>
            </w:r>
          </w:p>
        </w:tc>
        <w:tc>
          <w:tcPr>
            <w:tcW w:w="4673" w:type="dxa"/>
          </w:tcPr>
          <w:p w:rsidR="00D07053" w:rsidRPr="004C7E90" w:rsidRDefault="00444EF6" w:rsidP="00D07053">
            <w:pPr>
              <w:pStyle w:val="a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19 </w:t>
            </w:r>
            <w:r w:rsidR="00D07053" w:rsidRPr="004C7E90">
              <w:rPr>
                <w:color w:val="000000"/>
                <w:sz w:val="28"/>
                <w:szCs w:val="28"/>
                <w:lang w:eastAsia="ru-RU" w:bidi="ru-RU"/>
              </w:rPr>
              <w:t>сентября 2024 г.</w:t>
            </w:r>
          </w:p>
          <w:p w:rsidR="00D07053" w:rsidRPr="004C7E90" w:rsidRDefault="00D07053" w:rsidP="00D07053">
            <w:pPr>
              <w:jc w:val="both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bidi="ru-RU"/>
              </w:rPr>
              <w:t>12:00 ч. (по местному времени)</w:t>
            </w:r>
            <w:r w:rsidRPr="004C7E90">
              <w:rPr>
                <w:sz w:val="28"/>
                <w:szCs w:val="28"/>
              </w:rPr>
              <w:tab/>
            </w:r>
          </w:p>
        </w:tc>
      </w:tr>
    </w:tbl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>
        <w:rPr>
          <w:sz w:val="28"/>
        </w:rPr>
        <w:tab/>
      </w:r>
    </w:p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lastRenderedPageBreak/>
        <w:t>3. Местонахож</w:t>
      </w:r>
      <w:r w:rsidRPr="00D07053">
        <w:rPr>
          <w:b/>
          <w:bCs/>
          <w:sz w:val="28"/>
          <w:lang w:bidi="ru-RU"/>
        </w:rPr>
        <w:t>дение, почтовый адрес, адрес электронной почты Администрации, сайт в информационно-телекоммуникационной сети «Интернет».</w:t>
      </w:r>
    </w:p>
    <w:p w:rsidR="00D07053" w:rsidRP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sz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7053" w:rsidTr="00D07053">
        <w:tc>
          <w:tcPr>
            <w:tcW w:w="4672" w:type="dxa"/>
          </w:tcPr>
          <w:p w:rsidR="00D07053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D07053">
              <w:rPr>
                <w:sz w:val="28"/>
              </w:rPr>
              <w:t>Наименование</w:t>
            </w:r>
          </w:p>
        </w:tc>
        <w:tc>
          <w:tcPr>
            <w:tcW w:w="4673" w:type="dxa"/>
          </w:tcPr>
          <w:p w:rsidR="00D07053" w:rsidRPr="00D07053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D07053">
              <w:rPr>
                <w:sz w:val="28"/>
              </w:rPr>
              <w:t>Администрация</w:t>
            </w:r>
            <w:r w:rsidRPr="00D07053">
              <w:rPr>
                <w:sz w:val="28"/>
              </w:rPr>
              <w:tab/>
              <w:t>городского</w:t>
            </w:r>
            <w:r w:rsidRPr="00D07053">
              <w:rPr>
                <w:sz w:val="28"/>
              </w:rPr>
              <w:tab/>
              <w:t>округа</w:t>
            </w:r>
          </w:p>
          <w:p w:rsidR="00D07053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D07053">
              <w:rPr>
                <w:sz w:val="28"/>
              </w:rPr>
              <w:t>Анадырь</w:t>
            </w:r>
          </w:p>
        </w:tc>
      </w:tr>
      <w:tr w:rsidR="00D07053" w:rsidTr="00D07053">
        <w:tc>
          <w:tcPr>
            <w:tcW w:w="4672" w:type="dxa"/>
          </w:tcPr>
          <w:p w:rsidR="00D07053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D07053">
              <w:rPr>
                <w:sz w:val="28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73" w:type="dxa"/>
          </w:tcPr>
          <w:p w:rsidR="00D07053" w:rsidRDefault="00D07053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D07053">
              <w:rPr>
                <w:sz w:val="28"/>
              </w:rPr>
              <w:t>689000,</w:t>
            </w:r>
            <w:r>
              <w:rPr>
                <w:sz w:val="28"/>
              </w:rPr>
              <w:t xml:space="preserve"> Чукотский автономный округ, </w:t>
            </w:r>
            <w:proofErr w:type="spellStart"/>
            <w:r>
              <w:rPr>
                <w:sz w:val="28"/>
              </w:rPr>
              <w:t>г.</w:t>
            </w:r>
            <w:r w:rsidRPr="00D07053">
              <w:rPr>
                <w:sz w:val="28"/>
              </w:rPr>
              <w:t>Анадырь</w:t>
            </w:r>
            <w:proofErr w:type="spellEnd"/>
            <w:r w:rsidRPr="00D07053">
              <w:rPr>
                <w:sz w:val="28"/>
              </w:rPr>
              <w:t>, ул. Рультытегина, д. 1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Телефон приемной</w:t>
            </w:r>
          </w:p>
        </w:tc>
        <w:tc>
          <w:tcPr>
            <w:tcW w:w="4673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(42722) 2-21-02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Адрес электронной почты приемной</w:t>
            </w:r>
          </w:p>
        </w:tc>
        <w:tc>
          <w:tcPr>
            <w:tcW w:w="4673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precedent@rambler.ru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Официальный сайт</w:t>
            </w:r>
          </w:p>
        </w:tc>
        <w:tc>
          <w:tcPr>
            <w:tcW w:w="4673" w:type="dxa"/>
          </w:tcPr>
          <w:p w:rsidR="00D07053" w:rsidRDefault="00BA7B31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https://anadyr-adm.ru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D07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Контактная информация представителя</w:t>
            </w:r>
          </w:p>
        </w:tc>
        <w:tc>
          <w:tcPr>
            <w:tcW w:w="4673" w:type="dxa"/>
          </w:tcPr>
          <w:p w:rsidR="00D07053" w:rsidRDefault="00AF7D1C" w:rsidP="00BA7B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sz w:val="28"/>
              </w:rPr>
            </w:pPr>
            <w:r w:rsidRPr="00AF7D1C">
              <w:rPr>
                <w:sz w:val="28"/>
              </w:rPr>
              <w:t>(42722) 6-36-18</w:t>
            </w:r>
            <w:r w:rsidR="00BA7B31">
              <w:rPr>
                <w:sz w:val="28"/>
              </w:rPr>
              <w:t xml:space="preserve"> </w:t>
            </w:r>
            <w:r w:rsidR="00BA7B31" w:rsidRPr="00BA7B31">
              <w:rPr>
                <w:sz w:val="28"/>
              </w:rPr>
              <w:t>Заместитель  начальник</w:t>
            </w:r>
            <w:r w:rsidR="00BA7B31">
              <w:rPr>
                <w:sz w:val="28"/>
              </w:rPr>
              <w:t>а</w:t>
            </w:r>
            <w:r w:rsidR="00BA7B31" w:rsidRPr="00BA7B31">
              <w:rPr>
                <w:sz w:val="28"/>
              </w:rPr>
              <w:t xml:space="preserve"> управления промышленности и сельскохозяйственной политики Администрации городского округа Анадырь</w:t>
            </w:r>
            <w:r w:rsidR="00BA7B31">
              <w:rPr>
                <w:sz w:val="28"/>
              </w:rPr>
              <w:t xml:space="preserve"> - Соколов Олег Ильич</w:t>
            </w:r>
          </w:p>
        </w:tc>
      </w:tr>
    </w:tbl>
    <w:p w:rsidR="00D07053" w:rsidRDefault="00D07053" w:rsidP="00D07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AF7D1C" w:rsidRDefault="00AF7D1C" w:rsidP="00AF7D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bCs/>
          <w:sz w:val="28"/>
          <w:lang w:bidi="ru-RU"/>
        </w:rPr>
      </w:pPr>
      <w:r w:rsidRPr="00AF7D1C">
        <w:rPr>
          <w:b/>
          <w:bCs/>
          <w:sz w:val="28"/>
          <w:lang w:bidi="ru-RU"/>
        </w:rPr>
        <w:t>4. Цель и результат предоставления субсидии</w:t>
      </w:r>
    </w:p>
    <w:p w:rsidR="00AF7D1C" w:rsidRDefault="00AF7D1C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b/>
          <w:bCs/>
          <w:sz w:val="28"/>
          <w:lang w:bidi="ru-RU"/>
        </w:rPr>
      </w:pPr>
    </w:p>
    <w:p w:rsidR="00AF7D1C" w:rsidRPr="00AF7D1C" w:rsidRDefault="00AF7D1C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AF7D1C">
        <w:rPr>
          <w:sz w:val="28"/>
        </w:rPr>
        <w:t>4.1. Субсидия предоставляется в целях содействия субъектам предпринимательской деятельности при осуществлении деятельности пунктов технического осмотра транспортных средств, для обеспечения качества услуг по проведению технического осмотра</w:t>
      </w:r>
      <w:r>
        <w:rPr>
          <w:sz w:val="28"/>
        </w:rPr>
        <w:t xml:space="preserve"> </w:t>
      </w:r>
      <w:r w:rsidRPr="00AF7D1C">
        <w:rPr>
          <w:sz w:val="28"/>
        </w:rPr>
        <w:t>соответствующего правилам проведения технического осмотра на территории городского округа Анадыр</w:t>
      </w:r>
      <w:r>
        <w:rPr>
          <w:sz w:val="28"/>
        </w:rPr>
        <w:t>ь, путем финансового частичного возмещения</w:t>
      </w:r>
      <w:r w:rsidRPr="00AF7D1C">
        <w:rPr>
          <w:sz w:val="28"/>
        </w:rPr>
        <w:t xml:space="preserve">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Анадырь.</w:t>
      </w:r>
    </w:p>
    <w:p w:rsidR="00AF7D1C" w:rsidRDefault="00AF7D1C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AF7D1C">
        <w:rPr>
          <w:sz w:val="28"/>
        </w:rPr>
        <w:t>4.2.</w:t>
      </w:r>
      <w:r w:rsidRPr="00AF7D1C">
        <w:rPr>
          <w:sz w:val="28"/>
        </w:rPr>
        <w:tab/>
      </w:r>
      <w:r w:rsidR="00322F62" w:rsidRPr="00322F62">
        <w:rPr>
          <w:sz w:val="28"/>
        </w:rPr>
        <w:t>Результатом предоставления Субсидии является поверка 100% оборудования, указанного Получателем субсидии при подаче заявки и необходимого для осуществления технического осмотра транспортных средств, включая автобусы, произведенная в соответствии с требованиями законодательства, с обязательным внесением сведений в Федеральный информационный фонд по обеспечению единства измерений. Поверка оборудования и внесение сведений о поверенном оборудовании в Федеральный информационный фонд по обеспечению единства измерений должны быть произведены не позднее 1 июля 2024 года.</w:t>
      </w:r>
    </w:p>
    <w:p w:rsidR="00322F62" w:rsidRDefault="00322F62" w:rsidP="00AF7D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Default="00AF0925" w:rsidP="00322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322F62" w:rsidRPr="00322F62">
        <w:rPr>
          <w:b/>
          <w:sz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требованиям Порядка.</w:t>
      </w:r>
    </w:p>
    <w:p w:rsidR="00322F62" w:rsidRDefault="00322F62" w:rsidP="00322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rPr>
          <w:b/>
          <w:sz w:val="28"/>
        </w:rPr>
      </w:pP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 xml:space="preserve">Требования к участникам отбора, которым должен соответствовать участник отбора </w:t>
      </w:r>
      <w:r>
        <w:rPr>
          <w:sz w:val="28"/>
        </w:rPr>
        <w:t>н</w:t>
      </w:r>
      <w:r w:rsidRPr="00322F62">
        <w:rPr>
          <w:sz w:val="28"/>
        </w:rPr>
        <w:t>а 1-е число месяца, предшествующего месяцу, в котором планируется проведение отбора</w:t>
      </w:r>
      <w:r>
        <w:rPr>
          <w:sz w:val="28"/>
        </w:rPr>
        <w:t>:</w:t>
      </w: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lastRenderedPageBreak/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3)</w:t>
      </w:r>
      <w:r w:rsidRPr="00322F62">
        <w:rPr>
          <w:sz w:val="28"/>
        </w:rPr>
        <w:tab/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4)</w:t>
      </w:r>
      <w:r w:rsidRPr="00322F62">
        <w:rPr>
          <w:sz w:val="28"/>
        </w:rPr>
        <w:tab/>
        <w:t>получатель субсидии (участник отбора) не получает средства из бюджета Чукотского автономного округа, а также бюджета городского округа Анадырь, на основании иных нормативных правовых актов субъекта Российской Федерации и на основании иных муниципальных правовых актов на цели, установленные пункто</w:t>
      </w:r>
      <w:r w:rsidR="00963AE7">
        <w:rPr>
          <w:sz w:val="28"/>
        </w:rPr>
        <w:t xml:space="preserve">м </w:t>
      </w:r>
      <w:r w:rsidR="00BA7B31">
        <w:rPr>
          <w:sz w:val="28"/>
        </w:rPr>
        <w:t xml:space="preserve">2.1 </w:t>
      </w:r>
      <w:r w:rsidR="00BA7B31" w:rsidRPr="00322F62">
        <w:rPr>
          <w:sz w:val="28"/>
        </w:rPr>
        <w:t>порядка</w:t>
      </w:r>
      <w:r w:rsidRPr="00322F62">
        <w:rPr>
          <w:sz w:val="28"/>
        </w:rPr>
        <w:t>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5)</w:t>
      </w:r>
      <w:r w:rsidRPr="00322F62">
        <w:rPr>
          <w:sz w:val="28"/>
        </w:rPr>
        <w:tab/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6)</w:t>
      </w:r>
      <w:r w:rsidRPr="00322F62">
        <w:rPr>
          <w:sz w:val="28"/>
        </w:rPr>
        <w:tab/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lastRenderedPageBreak/>
        <w:t>7)</w:t>
      </w:r>
      <w:r w:rsidRPr="00322F62">
        <w:rPr>
          <w:sz w:val="28"/>
        </w:rPr>
        <w:tab/>
        <w:t>у получателя субсидии (участника отбора) отсутствуют просроченная задолженность по возврату в бюджет городского округа Анадырь иных субсидий, бюджетных инвестиций, а также иная просроченная (неурегулированная) задолженность по денежным обязательствам перед городским округом Анадырь в соответствии с правовым актом (за исключением случаев, установленных соответственно высшим исполнительным органом местной администрацией);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8)</w:t>
      </w:r>
      <w:r w:rsidRPr="00322F62">
        <w:rPr>
          <w:sz w:val="28"/>
        </w:rPr>
        <w:tab/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9)</w:t>
      </w:r>
      <w:r w:rsidRPr="00322F62">
        <w:rPr>
          <w:sz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P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10)</w:t>
      </w:r>
      <w:r w:rsidRPr="00322F62">
        <w:rPr>
          <w:sz w:val="28"/>
        </w:rPr>
        <w:tab/>
        <w:t>пункт технического осмотра транспортных средств участников отбора должен находиться на территории городского округа Анадырь;</w:t>
      </w: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Default="00322F62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322F62">
        <w:rPr>
          <w:sz w:val="28"/>
        </w:rPr>
        <w:t>11)</w:t>
      </w:r>
      <w:r w:rsidRPr="00322F62">
        <w:rPr>
          <w:sz w:val="28"/>
        </w:rPr>
        <w:tab/>
        <w:t>участники отбора должны быть аккредитованы в установленном порядке на право проведения технического осмотра.</w:t>
      </w:r>
    </w:p>
    <w:p w:rsidR="00322F62" w:rsidRDefault="00322F62" w:rsidP="00322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322F62" w:rsidRDefault="00322F62" w:rsidP="00322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  <w:r w:rsidRPr="00322F62">
        <w:rPr>
          <w:b/>
          <w:sz w:val="28"/>
        </w:rPr>
        <w:t>6. Порядок подачи заявок и требований, предъявляемых к форме и содержанию заявок, подаваемых участниками отбора</w:t>
      </w:r>
    </w:p>
    <w:p w:rsid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Для участия в отборе участники отбора представляют в Администрацию, в указанные в объявлении о проведении отбора сроки, следующие документы: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1) заявку на предоставление Субсидии по форме сог</w:t>
      </w:r>
      <w:r>
        <w:rPr>
          <w:rFonts w:eastAsiaTheme="minorHAnsi"/>
          <w:sz w:val="28"/>
          <w:szCs w:val="28"/>
          <w:lang w:eastAsia="en-US"/>
        </w:rPr>
        <w:t xml:space="preserve">ласно приложению 1 к </w:t>
      </w:r>
      <w:r w:rsidRPr="004C7E90">
        <w:rPr>
          <w:rFonts w:eastAsiaTheme="minorHAnsi"/>
          <w:sz w:val="28"/>
          <w:szCs w:val="28"/>
          <w:lang w:eastAsia="en-US"/>
        </w:rPr>
        <w:t>Порядку (далее - заявка);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2) расчет расходов и размера запрашиваемой Субсидии по форме со</w:t>
      </w:r>
      <w:r>
        <w:rPr>
          <w:rFonts w:eastAsiaTheme="minorHAnsi"/>
          <w:sz w:val="28"/>
          <w:szCs w:val="28"/>
          <w:lang w:eastAsia="en-US"/>
        </w:rPr>
        <w:t xml:space="preserve">гласно приложению 2 к </w:t>
      </w:r>
      <w:r w:rsidRPr="004C7E90">
        <w:rPr>
          <w:rFonts w:eastAsiaTheme="minorHAnsi"/>
          <w:sz w:val="28"/>
          <w:szCs w:val="28"/>
          <w:lang w:eastAsia="en-US"/>
        </w:rPr>
        <w:t>Порядку;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lastRenderedPageBreak/>
        <w:t>3) результат поверки оборудования пункта технического осмотра по состоянию на 1 июля 2024 года, по форме согласно п</w:t>
      </w:r>
      <w:r>
        <w:rPr>
          <w:rFonts w:eastAsiaTheme="minorHAnsi"/>
          <w:sz w:val="28"/>
          <w:szCs w:val="28"/>
          <w:lang w:eastAsia="en-US"/>
        </w:rPr>
        <w:t xml:space="preserve">риложению 3 к </w:t>
      </w:r>
      <w:r w:rsidRPr="004C7E90">
        <w:rPr>
          <w:rFonts w:eastAsiaTheme="minorHAnsi"/>
          <w:sz w:val="28"/>
          <w:szCs w:val="28"/>
          <w:lang w:eastAsia="en-US"/>
        </w:rPr>
        <w:t>Порядку;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4) сведения о том, что участник отбора аккредитован как оператор технического осмотра;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5) выписку из Единого государственного реестра юридических лиц (индивидуальных предпринимателей), заверенную в установленном порядке;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6) перечень оборудования с приложением копий технических паспортов, подлежащего поверке в 2024 году;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7) копию документа о назначении руководителя на должность (для юридических лиц), копию содержащих информацию страниц документа, удостоверяющего личность индивидуального предпринимателя.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Ответственность за достоверность представляемых документов несут участники отбора.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Все документы, представляемые участниками отбора, должны быть заверены подписью руководителя юридического лица либо индивидуального предпринимателя и печатью (при наличии печати). Каждым участником отбора подается одна заявка.</w:t>
      </w:r>
    </w:p>
    <w:p w:rsid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Участник отбора представляет документы, указанные в настоящем пункте, на бумажном носителе непосредственно в Администрацию либо направляет их в адрес Администрации почтовым отправлением с одновременным направлением в виде сканированных копий на адрес электронной почты.</w:t>
      </w:r>
    </w:p>
    <w:p w:rsid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Pr="004C7E90" w:rsidRDefault="00AF0925" w:rsidP="004C7E9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 </w:t>
      </w:r>
      <w:r w:rsidR="004C7E90" w:rsidRPr="004C7E90">
        <w:rPr>
          <w:rFonts w:eastAsiaTheme="minorHAnsi"/>
          <w:b/>
          <w:sz w:val="28"/>
          <w:szCs w:val="28"/>
          <w:lang w:eastAsia="en-US"/>
        </w:rPr>
        <w:t>Порядок отзыва,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отбора.</w:t>
      </w:r>
    </w:p>
    <w:p w:rsidR="00322F62" w:rsidRPr="004C7E90" w:rsidRDefault="00322F62" w:rsidP="00322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sz w:val="28"/>
        </w:rPr>
      </w:pP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</w:t>
      </w:r>
      <w:r w:rsidRPr="004C7E90">
        <w:rPr>
          <w:rFonts w:eastAsiaTheme="minorHAnsi"/>
          <w:sz w:val="28"/>
          <w:szCs w:val="28"/>
          <w:lang w:eastAsia="en-US"/>
        </w:rPr>
        <w:t>. Заявка и документы могут быть отозваны до окончания срока приема заявок и документов путем направления участником отбора соответствующего обращения в Администрацию. Возврат отозванных заявок и документов осуществляется Администрацией в течение трех рабочих дней со дня отзыва путем вручения их уполномоченному представителю участника отбора.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 xml:space="preserve">Участник отбора вправе направить в письменной форме в Администрацию городского округа Анадырь запрос о даче разъяснений положений, содержащихся в объявлении. В течение двух рабочих дней с даты поступления указанного запроса Администрация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не </w:t>
      </w:r>
      <w:r w:rsidRPr="004C7E90">
        <w:rPr>
          <w:rFonts w:eastAsiaTheme="minorHAnsi"/>
          <w:sz w:val="28"/>
          <w:szCs w:val="28"/>
          <w:lang w:eastAsia="en-US"/>
        </w:rPr>
        <w:lastRenderedPageBreak/>
        <w:t>позднее чем за пять дней до даты окончания срока подачи заявки и документов.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E90">
        <w:rPr>
          <w:rFonts w:eastAsiaTheme="minorHAnsi"/>
          <w:sz w:val="28"/>
          <w:szCs w:val="28"/>
          <w:lang w:eastAsia="en-US"/>
        </w:rPr>
        <w:t>Отозванные заявки не учитываются при проведении отбора.</w:t>
      </w:r>
    </w:p>
    <w:p w:rsid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</w:t>
      </w:r>
      <w:r w:rsidRPr="004C7E90">
        <w:rPr>
          <w:rFonts w:eastAsiaTheme="minorHAnsi"/>
          <w:sz w:val="28"/>
          <w:szCs w:val="28"/>
          <w:lang w:eastAsia="en-US"/>
        </w:rPr>
        <w:t>. Рассмотрение документов, предоставленных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распоряжения Администрации (далее - Комиссия). Порядок формирования Комиссии, ее состав и положение о Комиссии утверждаются распоряжением Администрации.</w:t>
      </w:r>
    </w:p>
    <w:p w:rsidR="004C7E90" w:rsidRPr="004C7E90" w:rsidRDefault="004C7E90" w:rsidP="004C7E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Default="00AF0925" w:rsidP="004C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4C7E90" w:rsidRPr="004C7E90">
        <w:rPr>
          <w:b/>
          <w:sz w:val="28"/>
        </w:rPr>
        <w:t>Правила рассмотрения заявок участников отбора</w:t>
      </w:r>
    </w:p>
    <w:p w:rsidR="004C7E90" w:rsidRDefault="004C7E90" w:rsidP="004C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rPr>
          <w:b/>
          <w:sz w:val="28"/>
        </w:rPr>
      </w:pPr>
    </w:p>
    <w:p w:rsidR="004C7E90" w:rsidRPr="004C7E90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>
        <w:rPr>
          <w:sz w:val="28"/>
        </w:rPr>
        <w:t>8.1</w:t>
      </w:r>
      <w:r w:rsidR="004C7E90" w:rsidRPr="004C7E90">
        <w:rPr>
          <w:sz w:val="28"/>
        </w:rPr>
        <w:t xml:space="preserve">. </w:t>
      </w:r>
      <w:r>
        <w:rPr>
          <w:sz w:val="28"/>
        </w:rPr>
        <w:t xml:space="preserve"> </w:t>
      </w:r>
      <w:r w:rsidR="004C7E90" w:rsidRPr="004C7E90">
        <w:rPr>
          <w:sz w:val="28"/>
        </w:rPr>
        <w:t>Рассмотрение документов, предоставленных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распоряжения Администрации (далее - Комиссия). Порядок формирования Комиссии, ее состав и положение о Комиссии утверждаются распоряжением Администрации.</w:t>
      </w:r>
    </w:p>
    <w:p w:rsidR="004C7E90" w:rsidRPr="004C7E90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>
        <w:rPr>
          <w:sz w:val="28"/>
        </w:rPr>
        <w:t>8.2</w:t>
      </w:r>
      <w:r w:rsidR="004C7E90" w:rsidRPr="004C7E90">
        <w:rPr>
          <w:sz w:val="28"/>
        </w:rPr>
        <w:t xml:space="preserve">. </w:t>
      </w:r>
      <w:r>
        <w:rPr>
          <w:sz w:val="28"/>
        </w:rPr>
        <w:t xml:space="preserve"> </w:t>
      </w:r>
      <w:r w:rsidR="004C7E90" w:rsidRPr="004C7E90">
        <w:rPr>
          <w:sz w:val="28"/>
        </w:rPr>
        <w:t>Устанавливаются следующие правила рассмотрения и оценки предложений участников отбора: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а) Администрация осуществляет регистрацию предложений на участие в отборе в день их поступления в журнале регистрации предложений на участие в отборе (далее - журнал регистраций), который до начала приема предложений на участие в отборе нумеруется (сквозная нумерация всех листов), прошнуровывается (все листы) и скрепляется печатью;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б) зарегистрированные заявки и прилагаемые к ним документы направляются в Комиссию. Комиссия рассматривает,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 в срок не позднее десяти рабочих дней со дня окончания приема заявлений на участие в отборе;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в) Администрация в течение пяти рабочих дней со дня, следующего за днем окончания отбора, указанного в объявлении, запрашивает в порядке межведомственного взаимодействия следующие документы (сведения):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1) выписку налогового органа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 xml:space="preserve">2) сведения от органов государственной власти Чукотского автономного округа об отсутствии поддержки из окружного бюджета на цели, указанные в </w:t>
      </w:r>
      <w:r w:rsidR="00963AE7">
        <w:rPr>
          <w:sz w:val="28"/>
        </w:rPr>
        <w:t xml:space="preserve">пункте 1.2 раздела 1 </w:t>
      </w:r>
      <w:r w:rsidRPr="004C7E90">
        <w:rPr>
          <w:sz w:val="28"/>
        </w:rPr>
        <w:t>Порядка. Полученные в порядке межведомственного взаимодействия документы направляются в Комиссию.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 xml:space="preserve">Участник отбора вправе предоставить документы (сведения), указанные в настоящем пункте, по собственной инициативе. 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г) Комиссия рассматривает предложения участников отбора на предмет их соответствия требованиям, уст</w:t>
      </w:r>
      <w:r w:rsidR="00963AE7">
        <w:rPr>
          <w:sz w:val="28"/>
        </w:rPr>
        <w:t xml:space="preserve">ановленным разделом </w:t>
      </w:r>
      <w:r w:rsidR="00BA7B31">
        <w:rPr>
          <w:sz w:val="28"/>
        </w:rPr>
        <w:t xml:space="preserve">2 </w:t>
      </w:r>
      <w:r w:rsidR="00BA7B31" w:rsidRPr="004C7E90">
        <w:rPr>
          <w:sz w:val="28"/>
        </w:rPr>
        <w:t>Порядка</w:t>
      </w:r>
      <w:r w:rsidRPr="004C7E90">
        <w:rPr>
          <w:sz w:val="28"/>
        </w:rPr>
        <w:t xml:space="preserve">. В случае их несоответствия установленным требованиям, в том числе положениям </w:t>
      </w:r>
      <w:r w:rsidRPr="004C7E90">
        <w:rPr>
          <w:sz w:val="28"/>
        </w:rPr>
        <w:lastRenderedPageBreak/>
        <w:t>объявления о проведении отбора, указанные предложения подлежат отклонению с указанием причин их отклонения;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д) информация о результатах рассмотрения заявок размещается Администрацией в информационно-телекоммуникационной сети «Интернет» на официальном сайте Администрации в срок до пяти рабочих дней с даты подведения итогов Комиссией, и включает следующие сведения: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1) дата, время и место проведения рассмотрения заявок;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2) информация об участниках отбора, заявки которых были рассмотрены;</w:t>
      </w:r>
    </w:p>
    <w:p w:rsidR="004C7E90" w:rsidRP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C7E90" w:rsidRDefault="004C7E90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4C7E90">
        <w:rPr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>
        <w:rPr>
          <w:sz w:val="28"/>
        </w:rPr>
        <w:t>8.3</w:t>
      </w:r>
      <w:r w:rsidRPr="00AF0925">
        <w:rPr>
          <w:sz w:val="28"/>
        </w:rPr>
        <w:t xml:space="preserve">. </w:t>
      </w:r>
      <w:r>
        <w:rPr>
          <w:sz w:val="28"/>
        </w:rPr>
        <w:t xml:space="preserve"> </w:t>
      </w:r>
      <w:r w:rsidRPr="00AF0925">
        <w:rPr>
          <w:sz w:val="28"/>
        </w:rPr>
        <w:t>Администрация в срок не позднее пяти рабочих дней со дня принятия решения о заключении Соглашения с Получателями субсидии в адрес лиц, не прошедших отбор, направляет в письменном виде уведомления с указанием причины отклонения заявления на участие в отборе. Письменное уведомление направляется почтовым отправлением или на электронную почту (в случае, если электронный адрес указан в заявлении на участие в отборе).</w:t>
      </w:r>
    </w:p>
    <w:p w:rsidR="00F407DA" w:rsidRDefault="00F407DA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F407DA" w:rsidRPr="00F407DA" w:rsidRDefault="00F407DA" w:rsidP="00F40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9. </w:t>
      </w:r>
      <w:r w:rsidRPr="00F407DA">
        <w:rPr>
          <w:b/>
          <w:sz w:val="28"/>
        </w:rPr>
        <w:t>Порядок предоставления участникам отбора разъяснений положений</w:t>
      </w:r>
      <w:r>
        <w:rPr>
          <w:b/>
          <w:sz w:val="28"/>
        </w:rPr>
        <w:t xml:space="preserve"> объявления о проведении отбора</w:t>
      </w:r>
      <w:r w:rsidRPr="00F407DA">
        <w:rPr>
          <w:b/>
          <w:sz w:val="28"/>
        </w:rPr>
        <w:t>.</w:t>
      </w:r>
    </w:p>
    <w:p w:rsidR="00F407DA" w:rsidRDefault="00F407DA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F407DA" w:rsidRDefault="00F407DA" w:rsidP="00F407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02B8">
        <w:rPr>
          <w:rFonts w:eastAsiaTheme="minorHAnsi"/>
          <w:sz w:val="28"/>
          <w:szCs w:val="28"/>
          <w:lang w:eastAsia="en-US"/>
        </w:rPr>
        <w:t>Участник отбора вправе направить в письменной форме в Администрацию городского округа Анадырь запрос о даче разъяснений положений, содержащихся в объявлении. В течение двух рабочих дней с даты поступления указанного запроса Администрация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не позднее чем за пять дней до даты окончания срока подачи заявки и документов.</w:t>
      </w:r>
    </w:p>
    <w:p w:rsidR="00AF0925" w:rsidRPr="00F407DA" w:rsidRDefault="00F407DA" w:rsidP="00F407D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bidi="ru-RU"/>
        </w:rPr>
        <w:t>10</w:t>
      </w:r>
      <w:r w:rsidR="00AF0925">
        <w:rPr>
          <w:b/>
          <w:bCs/>
          <w:color w:val="000000"/>
          <w:sz w:val="28"/>
          <w:szCs w:val="28"/>
          <w:lang w:bidi="ru-RU"/>
        </w:rPr>
        <w:t xml:space="preserve">. </w:t>
      </w:r>
      <w:r w:rsidR="00AF0925" w:rsidRPr="00AF0925">
        <w:rPr>
          <w:b/>
          <w:bCs/>
          <w:color w:val="000000"/>
          <w:sz w:val="28"/>
          <w:szCs w:val="28"/>
          <w:lang w:bidi="ru-RU"/>
        </w:rPr>
        <w:t>Срок подписания соглашения победителем отбора.</w:t>
      </w:r>
    </w:p>
    <w:p w:rsidR="00AF0925" w:rsidRDefault="00AF0925" w:rsidP="004C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rPr>
          <w:sz w:val="28"/>
        </w:rPr>
      </w:pP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  <w:r w:rsidRPr="00AF0925">
        <w:rPr>
          <w:sz w:val="28"/>
        </w:rPr>
        <w:t xml:space="preserve">Победитель (победители) отбора подписывают Соглашение с Администрацией о предоставлении Субсидии в течение 3 рабочих дней со дня </w:t>
      </w:r>
      <w:r w:rsidR="00BA7B31">
        <w:rPr>
          <w:sz w:val="28"/>
        </w:rPr>
        <w:t xml:space="preserve">получения </w:t>
      </w:r>
      <w:r w:rsidRPr="00AF0925">
        <w:rPr>
          <w:sz w:val="28"/>
        </w:rPr>
        <w:t>Администрацией проекта Соглашения и направления его победителю (победителям) отбора.</w:t>
      </w: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both"/>
        <w:rPr>
          <w:sz w:val="28"/>
        </w:rPr>
      </w:pPr>
    </w:p>
    <w:p w:rsidR="00AF0925" w:rsidRDefault="00F407DA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11</w:t>
      </w:r>
      <w:r w:rsidR="00AF0925">
        <w:rPr>
          <w:b/>
          <w:sz w:val="28"/>
        </w:rPr>
        <w:t xml:space="preserve">. </w:t>
      </w:r>
      <w:r w:rsidR="00AF0925" w:rsidRPr="00AF0925">
        <w:rPr>
          <w:b/>
          <w:sz w:val="28"/>
        </w:rPr>
        <w:t>Условия признания победителя (победителей) отбора уклонившимся от заключения соглашения.</w:t>
      </w: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rPr>
          <w:b/>
          <w:sz w:val="28"/>
        </w:rPr>
      </w:pPr>
    </w:p>
    <w:p w:rsidR="00AF0925" w:rsidRDefault="00E70E62" w:rsidP="00AF0925">
      <w:pPr>
        <w:widowControl w:val="0"/>
        <w:spacing w:after="260" w:line="266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E70E62">
        <w:rPr>
          <w:color w:val="000000"/>
          <w:sz w:val="28"/>
          <w:szCs w:val="28"/>
          <w:lang w:bidi="ru-RU"/>
        </w:rPr>
        <w:t xml:space="preserve">В случае не поступления проекта Соглашения, подписанного Получателем субсидии, в Администрацию в срок, превышающий пяти рабочих дней с момента получения проекта Соглашения, Получатель </w:t>
      </w:r>
      <w:r w:rsidRPr="00E70E62">
        <w:rPr>
          <w:color w:val="000000"/>
          <w:sz w:val="28"/>
          <w:szCs w:val="28"/>
          <w:lang w:bidi="ru-RU"/>
        </w:rPr>
        <w:lastRenderedPageBreak/>
        <w:t>субсидии считается уклонившимся от подписания Соглашения</w:t>
      </w:r>
    </w:p>
    <w:p w:rsidR="00963AE7" w:rsidRDefault="00F407DA" w:rsidP="00963AE7">
      <w:pPr>
        <w:pStyle w:val="11"/>
        <w:keepNext/>
        <w:keepLines/>
        <w:shd w:val="clear" w:color="auto" w:fill="auto"/>
        <w:tabs>
          <w:tab w:val="left" w:pos="1124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2" w:name="bookmark14"/>
      <w:bookmarkStart w:id="3" w:name="bookmark15"/>
      <w:r>
        <w:rPr>
          <w:color w:val="000000"/>
          <w:sz w:val="28"/>
          <w:szCs w:val="28"/>
          <w:lang w:eastAsia="ru-RU" w:bidi="ru-RU"/>
        </w:rPr>
        <w:t>12</w:t>
      </w:r>
      <w:r w:rsidR="00963AE7">
        <w:rPr>
          <w:color w:val="000000"/>
          <w:sz w:val="28"/>
          <w:szCs w:val="28"/>
          <w:lang w:eastAsia="ru-RU" w:bidi="ru-RU"/>
        </w:rPr>
        <w:t xml:space="preserve">. </w:t>
      </w:r>
      <w:r w:rsidR="00963AE7" w:rsidRPr="00963AE7">
        <w:rPr>
          <w:color w:val="000000"/>
          <w:sz w:val="28"/>
          <w:szCs w:val="28"/>
          <w:lang w:eastAsia="ru-RU" w:bidi="ru-RU"/>
        </w:rPr>
        <w:t>Дата размещения результатов отбора на официальном сайте Администрации городского округа Анадырь.</w:t>
      </w:r>
      <w:bookmarkEnd w:id="2"/>
      <w:bookmarkEnd w:id="3"/>
    </w:p>
    <w:p w:rsidR="00963AE7" w:rsidRPr="00963AE7" w:rsidRDefault="00963AE7" w:rsidP="00963AE7">
      <w:pPr>
        <w:pStyle w:val="11"/>
        <w:keepNext/>
        <w:keepLines/>
        <w:shd w:val="clear" w:color="auto" w:fill="auto"/>
        <w:tabs>
          <w:tab w:val="left" w:pos="1124"/>
        </w:tabs>
        <w:spacing w:line="276" w:lineRule="auto"/>
        <w:jc w:val="center"/>
        <w:rPr>
          <w:sz w:val="28"/>
          <w:szCs w:val="28"/>
        </w:rPr>
      </w:pPr>
    </w:p>
    <w:p w:rsidR="00963AE7" w:rsidRDefault="00963AE7" w:rsidP="00BA7B31">
      <w:pPr>
        <w:widowControl w:val="0"/>
        <w:spacing w:after="260" w:line="266" w:lineRule="auto"/>
        <w:ind w:firstLine="760"/>
        <w:jc w:val="both"/>
        <w:rPr>
          <w:sz w:val="28"/>
          <w:szCs w:val="28"/>
          <w:lang w:bidi="ru-RU"/>
        </w:rPr>
      </w:pPr>
      <w:r w:rsidRPr="00963AE7">
        <w:rPr>
          <w:sz w:val="28"/>
          <w:szCs w:val="28"/>
          <w:lang w:bidi="ru-RU"/>
        </w:rPr>
        <w:t>Результаты отбора размещаются на официальном сайте Администрации городс</w:t>
      </w:r>
      <w:r>
        <w:rPr>
          <w:sz w:val="28"/>
          <w:szCs w:val="28"/>
          <w:lang w:bidi="ru-RU"/>
        </w:rPr>
        <w:t>к</w:t>
      </w:r>
      <w:r w:rsidR="00F407DA">
        <w:rPr>
          <w:sz w:val="28"/>
          <w:szCs w:val="28"/>
          <w:lang w:bidi="ru-RU"/>
        </w:rPr>
        <w:t>ого округа Анадырь не позднее 25 сентяб</w:t>
      </w:r>
      <w:r>
        <w:rPr>
          <w:sz w:val="28"/>
          <w:szCs w:val="28"/>
          <w:lang w:bidi="ru-RU"/>
        </w:rPr>
        <w:t>ря 2024</w:t>
      </w:r>
      <w:r w:rsidRPr="00963AE7">
        <w:rPr>
          <w:sz w:val="28"/>
          <w:szCs w:val="28"/>
          <w:lang w:bidi="ru-RU"/>
        </w:rPr>
        <w:t xml:space="preserve"> года.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5261"/>
        <w:gridCol w:w="4427"/>
      </w:tblGrid>
      <w:tr w:rsidR="00963AE7" w:rsidRPr="00963AE7" w:rsidTr="00963AE7">
        <w:trPr>
          <w:trHeight w:val="567"/>
        </w:trPr>
        <w:tc>
          <w:tcPr>
            <w:tcW w:w="5261" w:type="dxa"/>
            <w:shd w:val="clear" w:color="auto" w:fill="auto"/>
          </w:tcPr>
          <w:p w:rsidR="00963AE7" w:rsidRPr="00963AE7" w:rsidRDefault="00963AE7" w:rsidP="00963AE7">
            <w:pPr>
              <w:rPr>
                <w:szCs w:val="28"/>
              </w:rPr>
            </w:pPr>
            <w:r w:rsidRPr="00963AE7">
              <w:rPr>
                <w:szCs w:val="28"/>
              </w:rPr>
              <w:t>Заместитель Главы городского округа Анадырь - начальник управления промышленности и сельскохозяйственной политики Администрации городского округа Анадырь</w:t>
            </w:r>
          </w:p>
        </w:tc>
        <w:tc>
          <w:tcPr>
            <w:tcW w:w="4427" w:type="dxa"/>
            <w:shd w:val="clear" w:color="auto" w:fill="auto"/>
          </w:tcPr>
          <w:p w:rsidR="00963AE7" w:rsidRPr="00963AE7" w:rsidRDefault="00963AE7" w:rsidP="00963AE7">
            <w:pPr>
              <w:rPr>
                <w:szCs w:val="28"/>
              </w:rPr>
            </w:pPr>
            <w:r w:rsidRPr="00963AE7">
              <w:rPr>
                <w:szCs w:val="28"/>
              </w:rPr>
              <w:t xml:space="preserve">                                  </w:t>
            </w:r>
          </w:p>
          <w:p w:rsidR="00963AE7" w:rsidRPr="00963AE7" w:rsidRDefault="00963AE7" w:rsidP="00963AE7">
            <w:pPr>
              <w:rPr>
                <w:szCs w:val="28"/>
              </w:rPr>
            </w:pPr>
          </w:p>
          <w:p w:rsidR="00963AE7" w:rsidRPr="00963AE7" w:rsidRDefault="00963AE7" w:rsidP="00963AE7">
            <w:pPr>
              <w:rPr>
                <w:szCs w:val="28"/>
              </w:rPr>
            </w:pPr>
          </w:p>
          <w:p w:rsidR="00963AE7" w:rsidRPr="00963AE7" w:rsidRDefault="00963AE7" w:rsidP="00963AE7">
            <w:pPr>
              <w:rPr>
                <w:szCs w:val="28"/>
              </w:rPr>
            </w:pPr>
          </w:p>
          <w:p w:rsidR="00963AE7" w:rsidRPr="00963AE7" w:rsidRDefault="00963AE7" w:rsidP="00963AE7">
            <w:pPr>
              <w:jc w:val="right"/>
              <w:rPr>
                <w:szCs w:val="28"/>
              </w:rPr>
            </w:pPr>
            <w:r w:rsidRPr="00963AE7">
              <w:rPr>
                <w:szCs w:val="28"/>
              </w:rPr>
              <w:t xml:space="preserve"> К.В. Калинина</w:t>
            </w:r>
          </w:p>
        </w:tc>
      </w:tr>
    </w:tbl>
    <w:p w:rsidR="00963AE7" w:rsidRPr="00AF0925" w:rsidRDefault="00963AE7" w:rsidP="00AF0925">
      <w:pPr>
        <w:widowControl w:val="0"/>
        <w:spacing w:after="260" w:line="266" w:lineRule="auto"/>
        <w:ind w:firstLine="760"/>
        <w:jc w:val="both"/>
        <w:rPr>
          <w:sz w:val="28"/>
          <w:szCs w:val="28"/>
          <w:lang w:bidi="ru-RU"/>
        </w:rPr>
      </w:pP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rPr>
          <w:b/>
          <w:sz w:val="28"/>
        </w:rPr>
      </w:pPr>
    </w:p>
    <w:p w:rsid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801F76" w:rsidRPr="00801F76" w:rsidRDefault="00801F76" w:rsidP="00801F76">
      <w:pPr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Порядку предоставления в 2024 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spacing w:after="100" w:afterAutospacing="1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r w:rsidRPr="00801F76">
        <w:rPr>
          <w:rFonts w:eastAsiaTheme="minorHAnsi"/>
          <w:sz w:val="32"/>
          <w:szCs w:val="32"/>
          <w:lang w:eastAsia="en-US"/>
        </w:rPr>
        <w:t>ЗАЯВКА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 участие в отборе для получения субсидии из бюджета городского округа Анадырь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01F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Ознакомившись с порядком проведения отбора на получение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Анадырь,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01F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2"/>
          <w:szCs w:val="22"/>
          <w:lang w:eastAsia="en-US"/>
        </w:rPr>
      </w:pPr>
      <w:r w:rsidRPr="00801F76">
        <w:rPr>
          <w:rFonts w:eastAsiaTheme="minorHAnsi"/>
          <w:sz w:val="22"/>
          <w:szCs w:val="22"/>
          <w:lang w:eastAsia="en-US"/>
        </w:rPr>
        <w:t>(полное наименование организации, Ф.И.О. индивидуального предпринимателя)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направляет   документы   для проведения отбора получателей субсидии: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организации,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СНИЛС (для 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Юридический (почтовый) адрес: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Фактический (почтовый) адрес: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Ф.И.О. руководителя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Контактные телефоны руководителя бухгалтерии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Контактные телефоны специалиста, ответственного за подготовку документов на участие в отборе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Банковские реквизиты для перечисления субсидии: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Сведения о наличии у претендента на получение субсидии на праве собственности, ином законном основании для владения, пользования и распоряжения пунктов технического осмотра на территории городского округа Анадырь: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2"/>
        <w:gridCol w:w="6095"/>
      </w:tblGrid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Основание пользования объектом (собственное, аренда, субаренда частного или муниципального имущества) с указанием реквизитов документа</w:t>
            </w:r>
          </w:p>
        </w:tc>
      </w:tr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Настоящим ____________________________________________________ 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</w:t>
      </w:r>
      <w:r w:rsidRPr="00801F76">
        <w:rPr>
          <w:rFonts w:eastAsiaTheme="minorHAnsi"/>
          <w:lang w:eastAsia="en-US"/>
        </w:rPr>
        <w:t>(полное наименование юридического лица, ФИО индивидуального предпринимателя)</w:t>
      </w:r>
      <w:r w:rsidRPr="00801F76">
        <w:rPr>
          <w:rFonts w:eastAsiaTheme="minorHAnsi"/>
          <w:sz w:val="28"/>
          <w:szCs w:val="28"/>
          <w:lang w:eastAsia="en-US"/>
        </w:rPr>
        <w:t xml:space="preserve"> 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подтверждает, что: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- не находится в процессе реорганизации (за исключением реорганизации в форме присоединения к 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юридическому  лицу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, являющемуся участником отбора, другого юридического лица), ликвидации  (деятельность  индивидуального предпринимателя не прекращена в качестве индивидуального предпринимателя), в  отношении  него е  ведется  процедура банкротства, его деятельность не приостановлена в порядке, предусмотренном  законодательством  Российской Федерации;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- 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801F76">
        <w:rPr>
          <w:rFonts w:eastAsiaTheme="minorHAnsi"/>
          <w:sz w:val="28"/>
          <w:szCs w:val="28"/>
          <w:lang w:eastAsia="en-US"/>
        </w:rPr>
        <w:lastRenderedPageBreak/>
        <w:t>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не является получателем средств из окружного бюджета на основании иных нормативных правовых Чукотского автономного округа на цели, указанные в пункте 1.2 раздела 1 «Общие положения» Порядка предоставления в 2024 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Анадырь;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В случае предоставления субсидии организация дает согласие: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осуществление Администрацией городского округа Анадырь 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публикацию (размещение) в информационно-телекоммуникационной сети «Интернет» информации о подаваемой заявке, иной информации, связанной с предоставлением субсидии.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Достоверность представленных сведений гарантирую.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настоящему заявлению прилагаются: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1)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2)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3)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Руководитель организации      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________________                                                             _______________________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(расшифровка подписи)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Главный бухгалтер организации 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________________                                                       _______________________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(расшифровка подписи)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:rsidR="00801F76" w:rsidRPr="00801F76" w:rsidRDefault="00801F76" w:rsidP="00801F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Default="00801F76" w:rsidP="00801F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2477" w:rsidRPr="00801F76" w:rsidRDefault="00712477" w:rsidP="00801F7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4" w:name="_GoBack"/>
      <w:bookmarkEnd w:id="4"/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Порядку предоставления в 2024 году субсидии из бюджета городского округа Анадырь субъектам предпринимательской деятельности на финансовое обеспечение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autoSpaceDE w:val="0"/>
        <w:autoSpaceDN w:val="0"/>
        <w:adjustRightInd w:val="0"/>
        <w:ind w:left="4395"/>
        <w:jc w:val="both"/>
        <w:rPr>
          <w:rFonts w:eastAsiaTheme="minorHAnsi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ind w:left="4395"/>
        <w:jc w:val="both"/>
        <w:rPr>
          <w:rFonts w:eastAsiaTheme="minorHAnsi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Справка-расчет размера запрашиваемой субсидии 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01F76">
        <w:rPr>
          <w:rFonts w:eastAsiaTheme="minorHAnsi"/>
          <w:lang w:eastAsia="en-US"/>
        </w:rPr>
        <w:t xml:space="preserve">                                                         (полное наименование)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представляет расчет размера запрашиваемой субсидии на возмещение произведенных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Анадырь:</w:t>
      </w:r>
    </w:p>
    <w:p w:rsidR="00801F76" w:rsidRPr="00801F76" w:rsidRDefault="00801F76" w:rsidP="00801F76">
      <w:pPr>
        <w:autoSpaceDE w:val="0"/>
        <w:autoSpaceDN w:val="0"/>
        <w:adjustRightInd w:val="0"/>
        <w:spacing w:before="3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276"/>
        <w:gridCol w:w="1077"/>
        <w:gridCol w:w="2037"/>
        <w:gridCol w:w="2229"/>
      </w:tblGrid>
      <w:tr w:rsidR="00801F76" w:rsidRPr="00801F76" w:rsidTr="004415A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N п/п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Наименование направления затрат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Период</w:t>
            </w:r>
          </w:p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Сумма расходов, рублей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Предельный размер субсидии &lt;2&gt;, рублей </w:t>
            </w:r>
          </w:p>
        </w:tc>
      </w:tr>
      <w:tr w:rsidR="00801F76" w:rsidRPr="00801F76" w:rsidTr="004415A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в том числе без учета НДС &lt;1&gt; 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6</w:t>
            </w: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01F76" w:rsidRPr="00801F76" w:rsidRDefault="00801F76" w:rsidP="00801F76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:rsidR="00801F76" w:rsidRPr="00801F76" w:rsidRDefault="00801F76" w:rsidP="00801F76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Примечание:</w:t>
      </w:r>
    </w:p>
    <w:p w:rsidR="00801F76" w:rsidRPr="00801F76" w:rsidRDefault="00801F76" w:rsidP="00801F7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&lt;1&gt; - заполняется в случае, если юридическое лицо (индивидуальный предприниматель) является плательщиком НДС;</w:t>
      </w:r>
    </w:p>
    <w:p w:rsidR="00801F76" w:rsidRPr="00801F76" w:rsidRDefault="00801F76" w:rsidP="00801F7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&lt;2&gt; - гр. 6 = (гр. 5 x 90%) - в случае, если юридическое лицо (индивидуальный предприниматель) является плательщиком НДС;</w:t>
      </w:r>
    </w:p>
    <w:p w:rsidR="00801F76" w:rsidRPr="00801F76" w:rsidRDefault="00801F76" w:rsidP="00801F76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гр. 5 = (гр. 4 x 90%) - в случае, если юридическое лицо (индивидуальный предприниматель) не является плательщиком НДС.</w:t>
      </w:r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к Порядку предоставления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Pr="00801F76" w:rsidRDefault="00801F76" w:rsidP="00801F7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Результат поверки оборудования пункта технического осмотра по состоянию на 1 июля 2024 года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01F76">
        <w:rPr>
          <w:rFonts w:eastAsiaTheme="minorHAnsi"/>
          <w:lang w:eastAsia="en-US"/>
        </w:rPr>
        <w:t xml:space="preserve">                                                               (полное наименование)</w:t>
      </w:r>
    </w:p>
    <w:p w:rsidR="00801F76" w:rsidRPr="00801F76" w:rsidRDefault="00801F76" w:rsidP="00801F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сообщает, что в 2024 году, по состоянию на 01.07.2024 проведена поверка следующего оборудования:</w:t>
      </w:r>
    </w:p>
    <w:p w:rsidR="00801F76" w:rsidRPr="00801F76" w:rsidRDefault="00801F76" w:rsidP="00801F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110"/>
        <w:tblW w:w="9351" w:type="dxa"/>
        <w:tblLook w:val="04A0" w:firstRow="1" w:lastRow="0" w:firstColumn="1" w:lastColumn="0" w:noHBand="0" w:noVBand="1"/>
      </w:tblPr>
      <w:tblGrid>
        <w:gridCol w:w="892"/>
        <w:gridCol w:w="3214"/>
        <w:gridCol w:w="2126"/>
        <w:gridCol w:w="3119"/>
      </w:tblGrid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Наименование оборудования (марка, серийный номер)</w:t>
            </w: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Предельная дата проведения поверки в 2024 году</w:t>
            </w: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Дата направления сведений о поверке в федеральный информационный фонд по обеспечению единства измерений</w:t>
            </w: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801F76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801F76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______________________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801F76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:rsidR="00801F76" w:rsidRPr="00801F76" w:rsidRDefault="00801F76" w:rsidP="00801F76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ab/>
      </w:r>
      <w:r w:rsidRPr="00801F76">
        <w:rPr>
          <w:rFonts w:eastAsiaTheme="minorHAnsi"/>
          <w:sz w:val="28"/>
          <w:szCs w:val="28"/>
          <w:lang w:eastAsia="en-US"/>
        </w:rPr>
        <w:br w:type="page"/>
      </w:r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:rsidR="00801F76" w:rsidRPr="00801F76" w:rsidRDefault="00801F76" w:rsidP="00801F76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к Порядку предоставления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801F76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801F7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Перечень документов, подтверждающих фактически произведенные затраты, требования к таким документам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4394"/>
      </w:tblGrid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Документ</w:t>
            </w: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Требования 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Копия договора подряда на выполнение работ/ копия договора предоставления услуг</w:t>
            </w:r>
          </w:p>
          <w:p w:rsidR="00801F76" w:rsidRPr="00801F76" w:rsidRDefault="00801F76" w:rsidP="00801F76">
            <w:pPr>
              <w:spacing w:after="160" w:line="259" w:lineRule="auto"/>
              <w:jc w:val="center"/>
            </w:pP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Копию акта приемки выполненных работ и (или) оказания услуг</w:t>
            </w:r>
          </w:p>
          <w:p w:rsidR="00801F76" w:rsidRPr="00801F76" w:rsidRDefault="00801F76" w:rsidP="00801F76">
            <w:pPr>
              <w:spacing w:after="160" w:line="259" w:lineRule="auto"/>
              <w:jc w:val="center"/>
            </w:pP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Копия технического паспорта оборудования</w:t>
            </w: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 xml:space="preserve">Фото </w:t>
            </w:r>
            <w:proofErr w:type="spellStart"/>
            <w:r w:rsidRPr="00801F76">
              <w:t>шильдика</w:t>
            </w:r>
            <w:proofErr w:type="spellEnd"/>
            <w:r w:rsidRPr="00801F76">
              <w:t xml:space="preserve"> с отметкой о поверке/иная отметка о поверке оборудования</w:t>
            </w: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Произвольный формат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801F7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9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Копия платежного поручения</w:t>
            </w:r>
          </w:p>
        </w:tc>
        <w:tc>
          <w:tcPr>
            <w:tcW w:w="4394" w:type="dxa"/>
          </w:tcPr>
          <w:p w:rsidR="00801F76" w:rsidRPr="00801F76" w:rsidRDefault="00801F76" w:rsidP="00801F76">
            <w:pPr>
              <w:spacing w:line="288" w:lineRule="atLeast"/>
              <w:jc w:val="both"/>
            </w:pPr>
            <w:r w:rsidRPr="00801F76">
              <w:t>С отметкой банка, печатью и подписью специалиста Банка</w:t>
            </w:r>
          </w:p>
        </w:tc>
      </w:tr>
    </w:tbl>
    <w:p w:rsidR="00AF0925" w:rsidRPr="00AF0925" w:rsidRDefault="00AF0925" w:rsidP="00AF0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firstLine="851"/>
        <w:jc w:val="center"/>
        <w:rPr>
          <w:b/>
          <w:sz w:val="28"/>
        </w:rPr>
      </w:pPr>
    </w:p>
    <w:sectPr w:rsidR="00AF0925" w:rsidRPr="00AF0925" w:rsidSect="00963A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B7F"/>
    <w:multiLevelType w:val="multilevel"/>
    <w:tmpl w:val="DF7A0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029AA"/>
    <w:multiLevelType w:val="multilevel"/>
    <w:tmpl w:val="403A6E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3"/>
    <w:rsid w:val="001262D8"/>
    <w:rsid w:val="00322F62"/>
    <w:rsid w:val="00444EF6"/>
    <w:rsid w:val="004C7E90"/>
    <w:rsid w:val="00712477"/>
    <w:rsid w:val="00801F76"/>
    <w:rsid w:val="0095270A"/>
    <w:rsid w:val="00963AE7"/>
    <w:rsid w:val="00AF0925"/>
    <w:rsid w:val="00AF7D1C"/>
    <w:rsid w:val="00BA7B31"/>
    <w:rsid w:val="00D07053"/>
    <w:rsid w:val="00E70E62"/>
    <w:rsid w:val="00ED6070"/>
    <w:rsid w:val="00F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DA7C"/>
  <w15:chartTrackingRefBased/>
  <w15:docId w15:val="{2DD3AC8E-386B-4128-8C60-51EA1C4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07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07053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AF09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F0925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963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63AE7"/>
    <w:pPr>
      <w:widowControl w:val="0"/>
      <w:shd w:val="clear" w:color="auto" w:fill="FFFFFF"/>
      <w:spacing w:line="264" w:lineRule="auto"/>
      <w:ind w:firstLine="740"/>
      <w:outlineLvl w:val="0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3A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E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rsid w:val="0080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0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14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Лилия Николаевна</dc:creator>
  <cp:keywords/>
  <dc:description/>
  <cp:lastModifiedBy>Алла Соболева</cp:lastModifiedBy>
  <cp:revision>6</cp:revision>
  <cp:lastPrinted>2024-09-03T05:11:00Z</cp:lastPrinted>
  <dcterms:created xsi:type="dcterms:W3CDTF">2024-09-01T00:23:00Z</dcterms:created>
  <dcterms:modified xsi:type="dcterms:W3CDTF">2024-09-03T21:21:00Z</dcterms:modified>
</cp:coreProperties>
</file>