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BA" w:rsidRDefault="00E351B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51BA" w:rsidRDefault="00E351B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51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51BA" w:rsidRDefault="00E351BA">
            <w:pPr>
              <w:pStyle w:val="ConsPlusNormal"/>
            </w:pPr>
            <w:r>
              <w:t>23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51BA" w:rsidRDefault="00E351BA">
            <w:pPr>
              <w:pStyle w:val="ConsPlusNormal"/>
              <w:jc w:val="right"/>
            </w:pPr>
            <w:r>
              <w:t>N 28-ОЗ</w:t>
            </w:r>
          </w:p>
        </w:tc>
      </w:tr>
    </w:tbl>
    <w:p w:rsidR="00E351BA" w:rsidRDefault="00E35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jc w:val="center"/>
      </w:pPr>
      <w:r>
        <w:t>РОССИЙСКАЯ ФЕДЕРАЦИЯ</w:t>
      </w:r>
    </w:p>
    <w:p w:rsidR="00E351BA" w:rsidRDefault="00E351BA">
      <w:pPr>
        <w:pStyle w:val="ConsPlusTitle"/>
        <w:jc w:val="center"/>
      </w:pPr>
    </w:p>
    <w:p w:rsidR="00E351BA" w:rsidRDefault="00E351BA">
      <w:pPr>
        <w:pStyle w:val="ConsPlusTitle"/>
        <w:jc w:val="center"/>
      </w:pPr>
      <w:r>
        <w:t>ЧУКОТСКИЙ АВТОНОМНЫЙ ОКРУГ</w:t>
      </w:r>
    </w:p>
    <w:p w:rsidR="00E351BA" w:rsidRDefault="00E351BA">
      <w:pPr>
        <w:pStyle w:val="ConsPlusTitle"/>
        <w:jc w:val="center"/>
      </w:pPr>
    </w:p>
    <w:p w:rsidR="00E351BA" w:rsidRDefault="00E351BA">
      <w:pPr>
        <w:pStyle w:val="ConsPlusTitle"/>
        <w:jc w:val="center"/>
      </w:pPr>
      <w:r>
        <w:t>ЗАКОН</w:t>
      </w:r>
    </w:p>
    <w:p w:rsidR="00E351BA" w:rsidRDefault="00E351BA">
      <w:pPr>
        <w:pStyle w:val="ConsPlusTitle"/>
        <w:jc w:val="center"/>
      </w:pPr>
    </w:p>
    <w:p w:rsidR="00E351BA" w:rsidRDefault="00E351BA">
      <w:pPr>
        <w:pStyle w:val="ConsPlusTitle"/>
        <w:jc w:val="center"/>
      </w:pPr>
      <w:r>
        <w:t>О БЕСПЛАТНОЙ ЮРИДИЧЕСКОЙ ПОМОЩИ</w:t>
      </w:r>
    </w:p>
    <w:p w:rsidR="00E351BA" w:rsidRDefault="00E351BA">
      <w:pPr>
        <w:pStyle w:val="ConsPlusTitle"/>
        <w:jc w:val="center"/>
      </w:pPr>
      <w:r>
        <w:t>В ЧУКОТСКОМ АВТОНОМНОМ ОКРУГЕ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jc w:val="right"/>
      </w:pPr>
      <w:r>
        <w:t>Принят</w:t>
      </w:r>
    </w:p>
    <w:p w:rsidR="00E351BA" w:rsidRDefault="00E351BA">
      <w:pPr>
        <w:pStyle w:val="ConsPlusNormal"/>
        <w:jc w:val="right"/>
      </w:pPr>
      <w:r>
        <w:t>Думой Чукотского</w:t>
      </w:r>
    </w:p>
    <w:p w:rsidR="00E351BA" w:rsidRDefault="00E351BA">
      <w:pPr>
        <w:pStyle w:val="ConsPlusNormal"/>
        <w:jc w:val="right"/>
      </w:pPr>
      <w:r>
        <w:t>автономного округа</w:t>
      </w:r>
    </w:p>
    <w:p w:rsidR="00E351BA" w:rsidRDefault="00E351BA">
      <w:pPr>
        <w:pStyle w:val="ConsPlusNormal"/>
        <w:jc w:val="right"/>
      </w:pPr>
      <w:r>
        <w:t>18 апреля 2012 года</w:t>
      </w:r>
    </w:p>
    <w:p w:rsidR="00E351BA" w:rsidRDefault="00E351BA">
      <w:pPr>
        <w:pStyle w:val="ConsPlusNormal"/>
        <w:spacing w:after="1"/>
      </w:pPr>
    </w:p>
    <w:p w:rsidR="00E351BA" w:rsidRDefault="00E351BA">
      <w:pPr>
        <w:pStyle w:val="ConsPlusNormal"/>
        <w:jc w:val="both"/>
      </w:pPr>
      <w:bookmarkStart w:id="0" w:name="_GoBack"/>
      <w:bookmarkEnd w:id="0"/>
    </w:p>
    <w:p w:rsidR="00E351BA" w:rsidRDefault="00E351B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регулирует общественные отношения в области предоставления бесплатной юридической помощи на территории Чукотского автономного округа.</w:t>
      </w:r>
    </w:p>
    <w:p w:rsidR="00E351BA" w:rsidRDefault="00E351BA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Чукотского автономного округа от 13.02.2019 N 6-ОЗ)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1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>К полномочиям Думы Чукотского автономного округа в области обеспечения граждан Российской Федерации (далее - граждане) бесплатной юридической помощью относится принятие законов Чукотского автономного округа и осуществление контроля за их исполнением.</w:t>
      </w:r>
    </w:p>
    <w:p w:rsidR="00E351BA" w:rsidRDefault="00E351BA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Чукотского автономного округа от 30.04.2013 N 40-ОЗ)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2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>К полномочиям Правительства Чукотского автономного округа в области обеспечения граждан бесплатной юридической помощью относятся: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2) принятие нормативных правовых актов Чукотского автономного округа в области обеспечения граждан бесплатной юридической помощью по вопросам, отнесенным настоящей статьей к полномочиям Правительства Чукотского автономного округа, и осуществление контроля за их исполнением;</w:t>
      </w:r>
    </w:p>
    <w:p w:rsidR="00E351BA" w:rsidRDefault="00E351B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Чукотского автономного округа от 13.02.2019 N 6-ОЗ)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Чукотского автономного округа, уполномоченного в области обеспечения граждан бесплатной юридической помощью, и его компетенции;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 xml:space="preserve">4) определение органов исполнительной власти Чукотского автономного округа, подведомственных им учреждений и иных организаций, входящих в государственную систему бесплатной юридической помощи на территории Чукотского автономного округа, установление их </w:t>
      </w:r>
      <w:r>
        <w:lastRenderedPageBreak/>
        <w:t>компетенции, в том числе решение вопросов об учреждении и обеспечении деятельности государственных юридических бюро;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5) определение порядка создания и деятельности государственных юридических бюро;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 xml:space="preserve">6) определение порядка взаимодействия участников государственной и негосударственной систем бесплатной юридической помощи на территории Чукотского автономного округа в пределах полномочий,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(в том числе в части взаимодействия государственных юридических бюро с иными участниками этих систем бесплатной юридической помощи) (далее - Федеральный закон "О бесплатной юридической помощи в Российской Федерации");</w:t>
      </w:r>
    </w:p>
    <w:p w:rsidR="00E351BA" w:rsidRDefault="00E351BA">
      <w:pPr>
        <w:pStyle w:val="ConsPlusNormal"/>
        <w:jc w:val="both"/>
      </w:pPr>
      <w:r>
        <w:t xml:space="preserve">(п. 6 в ред. </w:t>
      </w:r>
      <w:hyperlink r:id="rId10">
        <w:r>
          <w:rPr>
            <w:color w:val="0000FF"/>
          </w:rPr>
          <w:t>Закона</w:t>
        </w:r>
      </w:hyperlink>
      <w:r>
        <w:t xml:space="preserve"> Чукотского автономного округа от 01.04.2024 N 11-ОЗ)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7)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8)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9) определение порядка предоставления Адвокатской палатой Чукотского автономного округа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помощи.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3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 xml:space="preserve">В рамках государственной системы бесплатной юридической помощи в Чукотском автономном округе право на получение бесплатной юридической помощи имеют категории граждан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а также следующие категории граждан в соответствии с настоящим Законом: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1) неработающие инвалиды III группы;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2) беременные женщины, одинокие родители, имеющие несовершеннолетних детей, родители, воспитывающие трех и более детей в возрасте до 18 лет;</w:t>
      </w:r>
    </w:p>
    <w:p w:rsidR="00E351BA" w:rsidRDefault="00E351BA">
      <w:pPr>
        <w:pStyle w:val="ConsPlusNormal"/>
        <w:jc w:val="both"/>
      </w:pPr>
      <w:r>
        <w:t xml:space="preserve">(в ред. Законов Чукотского автономного округа от 30.04.2013 </w:t>
      </w:r>
      <w:hyperlink r:id="rId12">
        <w:r>
          <w:rPr>
            <w:color w:val="0000FF"/>
          </w:rPr>
          <w:t>N 40-ОЗ</w:t>
        </w:r>
      </w:hyperlink>
      <w:r>
        <w:t xml:space="preserve">, от 13.02.2019 </w:t>
      </w:r>
      <w:hyperlink r:id="rId13">
        <w:r>
          <w:rPr>
            <w:color w:val="0000FF"/>
          </w:rPr>
          <w:t>N 6-ОЗ</w:t>
        </w:r>
      </w:hyperlink>
      <w:r>
        <w:t>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3) студенты, обучающиеся на территории Чукотского автономного округа, находящиеся в трудной жизненной ситуации;</w:t>
      </w:r>
    </w:p>
    <w:p w:rsidR="00E351BA" w:rsidRDefault="00E351BA">
      <w:pPr>
        <w:pStyle w:val="ConsPlusNormal"/>
        <w:jc w:val="both"/>
      </w:pPr>
      <w:r>
        <w:t xml:space="preserve">(п. 3 введен </w:t>
      </w:r>
      <w:hyperlink r:id="rId14">
        <w:r>
          <w:rPr>
            <w:color w:val="0000FF"/>
          </w:rPr>
          <w:t>Законом</w:t>
        </w:r>
      </w:hyperlink>
      <w:r>
        <w:t xml:space="preserve"> Чукотского автономного округа от 24.03.2014 N 17-ОЗ)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4) ВИЧ-инфицированные - несовершеннолетние в возрасте до 18 лет,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E351BA" w:rsidRDefault="00E351BA">
      <w:pPr>
        <w:pStyle w:val="ConsPlusNormal"/>
        <w:jc w:val="both"/>
      </w:pPr>
      <w:r>
        <w:t xml:space="preserve">(п. 4 введен </w:t>
      </w:r>
      <w:hyperlink r:id="rId15">
        <w:r>
          <w:rPr>
            <w:color w:val="0000FF"/>
          </w:rPr>
          <w:t>Законом</w:t>
        </w:r>
      </w:hyperlink>
      <w:r>
        <w:t xml:space="preserve"> Чукотского автономного округа от 13.02.2019 N 6-ОЗ)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5) граждане Российской Федерации, не имеющие регистрации по месту жительства в Российской Федерации, имевшие ранее регистрацию (прописку) по месту жительства на территории Чукотского автономного округа, - если они обращаются за оказанием бесплатной юридической помощи по вопросам, связанным с установлением факта места жительства на территории Чукотского автономного округа;</w:t>
      </w:r>
    </w:p>
    <w:p w:rsidR="00E351BA" w:rsidRDefault="00E351BA">
      <w:pPr>
        <w:pStyle w:val="ConsPlusNormal"/>
        <w:jc w:val="both"/>
      </w:pPr>
      <w:r>
        <w:t xml:space="preserve">(п. 5 введен </w:t>
      </w:r>
      <w:hyperlink r:id="rId16">
        <w:r>
          <w:rPr>
            <w:color w:val="0000FF"/>
          </w:rPr>
          <w:t>Законом</w:t>
        </w:r>
      </w:hyperlink>
      <w:r>
        <w:t xml:space="preserve"> Чукотского автономного округа от 13.02.2019 N 6-ОЗ)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 xml:space="preserve">6) члены семьи (вдова (вдовец), родители, дети в возрасте до 18 лет, а также </w:t>
      </w:r>
      <w:r>
        <w:lastRenderedPageBreak/>
        <w:t>совершеннолетние дети в возрасте до 23 лет включительно, обучающиеся по очной форме обучения в образовательных организациях независимо от их организационно-правовой формы) добровольного пожарного, погибшего при исполнении им на территории Чукотского автономного округа обязанностей добровольного пожарного, либо в случае его смерти, наступившей вследствие увечья (ранения, травмы, контузии), полученного при исполнении им на территории Чукотского автономного округа обязанностей добровольного пожарного, - по вопросам их социальной защиты в связи с гибелью (смертью) добровольного пожарного;</w:t>
      </w:r>
    </w:p>
    <w:p w:rsidR="00E351BA" w:rsidRDefault="00E351BA">
      <w:pPr>
        <w:pStyle w:val="ConsPlusNormal"/>
        <w:jc w:val="both"/>
      </w:pPr>
      <w:r>
        <w:t xml:space="preserve">(п. 6 введен </w:t>
      </w:r>
      <w:hyperlink r:id="rId17">
        <w:r>
          <w:rPr>
            <w:color w:val="0000FF"/>
          </w:rPr>
          <w:t>Законом</w:t>
        </w:r>
      </w:hyperlink>
      <w:r>
        <w:t xml:space="preserve"> Чукотского автономного округа от 13.02.2019 N 6-ОЗ)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7) неработающие граждане, достигшие возраста 60 лет;</w:t>
      </w:r>
    </w:p>
    <w:p w:rsidR="00E351BA" w:rsidRDefault="00E351BA">
      <w:pPr>
        <w:pStyle w:val="ConsPlusNormal"/>
        <w:jc w:val="both"/>
      </w:pPr>
      <w:r>
        <w:t xml:space="preserve">(п. 7 введен </w:t>
      </w:r>
      <w:hyperlink r:id="rId18">
        <w:r>
          <w:rPr>
            <w:color w:val="0000FF"/>
          </w:rPr>
          <w:t>Законом</w:t>
        </w:r>
      </w:hyperlink>
      <w:r>
        <w:t xml:space="preserve"> Чукотского автономного округа от 13.02.2019 N 6-ОЗ)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8) граждане, принимающие (принимавшие) участие в проведении специальной военной операции (далее - участники специальной военной операции), а также члены их семей по вопросам: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защиты прав и законных интересов, предусмотренных трудовым законодательством;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улучшения жилищных условий;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оказания медицинской помощи, включая обеспечение участников специальной военной операции лекарственными средствами и медицинскими изделиями, протезами и протезно-ортопедическими изделиями, техническими средствами реабилитации, получения участниками специальной военной операции медицинской реабилитации, долечивания, паллиативной медицинской помощи, санаторно-курортного лечения;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предоставления бесплатных лекарственных средств и препаратов;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предоставления иных льгот, социальных гарантий и компенсаций, предусмотренных федеральным законодательством и законодательством Чукотского автономного округа.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Участниками специальной военной операции признаются лица, относящиеся к одной из следующих категорий: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граждане, призванные на военную службу по мобилизации в Вооруженные Силы Российской Федерации,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в войсках национальной гвардии Российской Федерации, в воинских формированиях и органах, указанных в </w:t>
      </w:r>
      <w:hyperlink r:id="rId19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</w:t>
      </w:r>
      <w:r>
        <w:lastRenderedPageBreak/>
        <w:t>Республики, Запорожской области и Херсонской области;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 и (или)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года, уволенные с военной службы (службы, работы) вследствие получения ими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граждане, погибшие при выполнении задач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либо умершие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членами семей участников специальной военной операции признаются: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супруга (супруг) участника специальной военной операции, состоящая (состоящий) с ним (с ней) в зарегистрированном браке;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родители участника специальной военной операции;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совершеннолетние дети участника специальной военной операции в возрасте до 23 лет включительно, обучающиеся по очной форме обучения в образовательных организациях независимо от их организационно-правовой формы.</w:t>
      </w:r>
    </w:p>
    <w:p w:rsidR="00E351BA" w:rsidRDefault="00E351BA">
      <w:pPr>
        <w:pStyle w:val="ConsPlusNormal"/>
        <w:jc w:val="both"/>
      </w:pPr>
      <w:r>
        <w:t xml:space="preserve">(п. 8 в ред. </w:t>
      </w:r>
      <w:hyperlink r:id="rId20">
        <w:r>
          <w:rPr>
            <w:color w:val="0000FF"/>
          </w:rPr>
          <w:t>Закона</w:t>
        </w:r>
      </w:hyperlink>
      <w:r>
        <w:t xml:space="preserve"> Чукотского автономного округа от 28.12.2024 N 95-ОЗ)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9) оленеводы, работники, занятые в морском зверобойном промысле, и члены их семей - по вопросам, связанным с предоставлением мер социальной поддержки, установленных для указанной категории граждан федеральным законодательством и законодательством Чукотского автономного округа.</w:t>
      </w:r>
    </w:p>
    <w:p w:rsidR="00E351BA" w:rsidRDefault="00E351BA">
      <w:pPr>
        <w:pStyle w:val="ConsPlusNormal"/>
        <w:jc w:val="both"/>
      </w:pPr>
      <w:r>
        <w:t xml:space="preserve">(п. 9 введен </w:t>
      </w:r>
      <w:hyperlink r:id="rId21">
        <w:r>
          <w:rPr>
            <w:color w:val="0000FF"/>
          </w:rPr>
          <w:t>Законом</w:t>
        </w:r>
      </w:hyperlink>
      <w:r>
        <w:t xml:space="preserve"> Чукотского автономного округа от 16.12.2024 N 85-ОЗ)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4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>1. Органы исполнительной власти Чукотского автономного округа и подведомственные им учреждения оказывают гражданам, нуждающимся в социальной поддержке и социальной защите, бесплатную юридическую помощь в случаях и порядке, установленных федеральными законами и иными нормативными правовыми актами Российской Федерации, настоящим Законом.</w:t>
      </w:r>
    </w:p>
    <w:p w:rsidR="00E351BA" w:rsidRDefault="00E351B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Чукотского автономного округа от 01.04.2024 N 11-ОЗ)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lastRenderedPageBreak/>
        <w:t>2. Уполномоченный по правам человека в Чукотском автономном округе (далее - Уполномоченный по правам человека) содействует оказанию бесплатной юридической помощи в пределах своей компетенции.</w:t>
      </w:r>
    </w:p>
    <w:p w:rsidR="00E351BA" w:rsidRDefault="00E351BA">
      <w:pPr>
        <w:pStyle w:val="ConsPlusNormal"/>
        <w:jc w:val="both"/>
      </w:pPr>
      <w:r>
        <w:t xml:space="preserve">(часть 2 введена </w:t>
      </w:r>
      <w:hyperlink r:id="rId23">
        <w:r>
          <w:rPr>
            <w:color w:val="0000FF"/>
          </w:rPr>
          <w:t>Законом</w:t>
        </w:r>
      </w:hyperlink>
      <w:r>
        <w:t xml:space="preserve"> Чукотского автономного округа от 01.04.2024 N 11-ОЗ)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5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документ, удостоверяющий личность гражданина Российской Федерации, а также документ, подтверждающий отнесение его к одной из категорий граждан,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настоящим Законом.</w:t>
      </w:r>
    </w:p>
    <w:p w:rsidR="00E351BA" w:rsidRDefault="00E351B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Чукотского автономного округа от 30.04.2013 N 40-ОЗ)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2. Требование представления для оказания на территории Чукотского автономного округа бесплатной юридической помощи иных документов, кроме документов, указанных в настоящей статье, не допускается.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6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>В случае обращения гражданина в органы исполнительной власти Чукотского автономного округа и подведомственные им учреждения, являющиеся участниками государственной системы бесплатной юридической помощи, с просьбой об оказании бесплатной юридической помощи указанные органы и учреждения самостоятельно запрашивают у гражданина либо в иных органах исполнительной власти, органах местного самоуправления и организациях необходимые документы и направляют их адвокату или адвокатскому образованию для последующего предоставления гражданину бесплатной юридической помощи.</w:t>
      </w:r>
    </w:p>
    <w:p w:rsidR="00E351BA" w:rsidRDefault="00E351B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Чукотского автономного округа от 30.04.2013 N 40-ОЗ)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7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>1. В случае обращения гражданина к адвокату или адвокатскому образованию, оказывающим гражданам юридическую помощь бесплатно, документы для получения бесплатной юридической помощи представляются гражданином в подлиннике или в копиях, заверенных в соответствии с федеральным законодательством, при этом подлинные документы возвращаются гражданину (его законному представителю).</w:t>
      </w:r>
    </w:p>
    <w:p w:rsidR="00E351BA" w:rsidRDefault="00E351BA">
      <w:pPr>
        <w:pStyle w:val="ConsPlusNormal"/>
        <w:jc w:val="both"/>
      </w:pPr>
      <w:r>
        <w:t xml:space="preserve">(часть 1 в ред. </w:t>
      </w:r>
      <w:hyperlink r:id="rId27">
        <w:r>
          <w:rPr>
            <w:color w:val="0000FF"/>
          </w:rPr>
          <w:t>Закона</w:t>
        </w:r>
      </w:hyperlink>
      <w:r>
        <w:t xml:space="preserve"> Чукотского автономного округа от 21.10.2013 N 96-ОЗ)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2. Адвокаты, адвокатские образования, оказывающие гражданам бесплатную юридическую помощь, ведут учет и осуществляют хранение копий представленных документов.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 xml:space="preserve">3. Нотариусы в рамках государственной системы бесплатной юридической помощи оказывают бесплатную юридическую помощь гражданам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в порядке, установленном законодательством Российской Федерации о нотариате.</w:t>
      </w:r>
    </w:p>
    <w:p w:rsidR="00E351BA" w:rsidRDefault="00E351BA">
      <w:pPr>
        <w:pStyle w:val="ConsPlusNormal"/>
        <w:jc w:val="both"/>
      </w:pPr>
      <w:r>
        <w:t xml:space="preserve">(часть 3 введена </w:t>
      </w:r>
      <w:hyperlink r:id="rId29">
        <w:r>
          <w:rPr>
            <w:color w:val="0000FF"/>
          </w:rPr>
          <w:t>Законом</w:t>
        </w:r>
      </w:hyperlink>
      <w:r>
        <w:t xml:space="preserve"> Чукотского автономного округа от 01.04.2024 N 11-ОЗ)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7.1</w:t>
      </w:r>
    </w:p>
    <w:p w:rsidR="00E351BA" w:rsidRDefault="00E351BA">
      <w:pPr>
        <w:pStyle w:val="ConsPlusNormal"/>
        <w:ind w:firstLine="540"/>
        <w:jc w:val="both"/>
      </w:pPr>
    </w:p>
    <w:p w:rsidR="00E351BA" w:rsidRDefault="00E351BA">
      <w:pPr>
        <w:pStyle w:val="ConsPlusNormal"/>
        <w:ind w:firstLine="540"/>
        <w:jc w:val="both"/>
      </w:pPr>
      <w:r>
        <w:t xml:space="preserve">(введена </w:t>
      </w:r>
      <w:hyperlink r:id="rId30">
        <w:r>
          <w:rPr>
            <w:color w:val="0000FF"/>
          </w:rPr>
          <w:t>Законом</w:t>
        </w:r>
      </w:hyperlink>
      <w:r>
        <w:t xml:space="preserve"> Чукотского автономного округа от 05.12.2016 N 121-ОЗ)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адвокаты, являющиеся участниками государственной системы бесплатной юридической помощи, обязаны размещать в местах осуществления адвокатской деятельности следующую информацию: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lastRenderedPageBreak/>
        <w:t>1) порядок и случаи оказания бесплатной юридической помощи;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2) перечень категорий граждан, имеющих право на получение бесплатной юридической помощи;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3) порядок работы, включая порядок и график приема граждан;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4) список адвокатов, оказывающих гражданам бесплатную юридическую помощь, с указанием их контактной информации.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2. Нотариусы обязаны в рамках своей компетенции осуществлять правовое информирование и правовое просвещение населения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3. В целях правового информирования и правового просвещения населения органы исполнительной власти Чукотского автономного округа и подведомственные им учреждения, входящие в государственную систему бесплатной юридической помощи на территории Чукотского автономного округа, должностные лица указанных органов и учреждений обязаны размещать в местах, доступных для граждан, в средствах массовой информации, в информационно-телекоммуникационной сети "Интернет" либо доводить до граждан иным способом следующую информацию: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3) компетенция и порядок деятельности государственных органов Чукотского автономного округа и подведомственных им учреждений, полномочия их должностных лиц;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4) правила оказания государственных услуг;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подведомственных им учреждений и их должностных лиц;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7) другие сведения, связанные с оказанием гражданам бесплатной юридической помощи.</w:t>
      </w:r>
    </w:p>
    <w:p w:rsidR="00E351BA" w:rsidRDefault="00E351BA">
      <w:pPr>
        <w:pStyle w:val="ConsPlusNormal"/>
        <w:jc w:val="both"/>
      </w:pPr>
      <w:r>
        <w:t xml:space="preserve">(п. 7 введен </w:t>
      </w:r>
      <w:hyperlink r:id="rId31">
        <w:r>
          <w:rPr>
            <w:color w:val="0000FF"/>
          </w:rPr>
          <w:t>Законом</w:t>
        </w:r>
      </w:hyperlink>
      <w:r>
        <w:t xml:space="preserve"> Чукотского автономного округа от 01.04.2024 N 11-ОЗ)</w:t>
      </w:r>
    </w:p>
    <w:p w:rsidR="00E351BA" w:rsidRDefault="00E351BA">
      <w:pPr>
        <w:pStyle w:val="ConsPlusNormal"/>
        <w:jc w:val="both"/>
      </w:pPr>
      <w:r>
        <w:t xml:space="preserve">(часть 3 введена </w:t>
      </w:r>
      <w:hyperlink r:id="rId32">
        <w:r>
          <w:rPr>
            <w:color w:val="0000FF"/>
          </w:rPr>
          <w:t>Законом</w:t>
        </w:r>
      </w:hyperlink>
      <w:r>
        <w:t xml:space="preserve"> Чукотского автономного округа от 06.03.2023 N 5-ОЗ)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4. В целях правового информирования и правового просвещения населения Уполномоченный по правам человека обязан размещать в местах осуществления своей деятельности следующую информацию: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2) перечень категорий граждан, имеющих право на получение бесплатной юридической помощи;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3) порядок работы, включая порядок и график приема граждан.</w:t>
      </w:r>
    </w:p>
    <w:p w:rsidR="00E351BA" w:rsidRDefault="00E351BA">
      <w:pPr>
        <w:pStyle w:val="ConsPlusNormal"/>
        <w:jc w:val="both"/>
      </w:pPr>
      <w:r>
        <w:t xml:space="preserve">(часть 4 введена </w:t>
      </w:r>
      <w:hyperlink r:id="rId33">
        <w:r>
          <w:rPr>
            <w:color w:val="0000FF"/>
          </w:rPr>
          <w:t>Законом</w:t>
        </w:r>
      </w:hyperlink>
      <w:r>
        <w:t xml:space="preserve"> Чукотского автономного округа от 01.04.2024 N 11-ОЗ)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8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 xml:space="preserve">1. Оплата труда и компенсация расходов адвокатов, оказывающих бесплатную юридическую помощь гражданам, имеющим право на ее получение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осуществляется в пределах средств, предусмотренных на указанные цели законом об окружном бюджете на соответствующий финансовый год.</w:t>
      </w:r>
    </w:p>
    <w:p w:rsidR="00E351BA" w:rsidRDefault="00E351BA">
      <w:pPr>
        <w:pStyle w:val="ConsPlusNormal"/>
        <w:jc w:val="both"/>
      </w:pPr>
      <w:r>
        <w:t xml:space="preserve">(в ред. Законов Чукотского автономного округа от 30.04.2013 </w:t>
      </w:r>
      <w:hyperlink r:id="rId35">
        <w:r>
          <w:rPr>
            <w:color w:val="0000FF"/>
          </w:rPr>
          <w:t>N 40-ОЗ</w:t>
        </w:r>
      </w:hyperlink>
      <w:r>
        <w:t xml:space="preserve">, от 01.04.2024 </w:t>
      </w:r>
      <w:hyperlink r:id="rId36">
        <w:r>
          <w:rPr>
            <w:color w:val="0000FF"/>
          </w:rPr>
          <w:t>N 11-ОЗ</w:t>
        </w:r>
      </w:hyperlink>
      <w:r>
        <w:t>)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 xml:space="preserve">2.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в соответствии со </w:t>
      </w:r>
      <w:hyperlink r:id="rId37">
        <w:r>
          <w:rPr>
            <w:color w:val="0000FF"/>
          </w:rPr>
          <w:t>статьей 19.1</w:t>
        </w:r>
      </w:hyperlink>
      <w:r>
        <w:t xml:space="preserve"> Федерального закона "О бесплатной юридической помощи в Российской Федерации" в пределах бюджетных ассигнований, предусмотренных на указанные цели законом Чукотского автономного округа об окружном бюджете на соответствующий финансовый год.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Порядок компенсации оплаты нотариальных действий, совершенных нотариусами в Чукотском автономном округе бесплатно в рамках государственной системы бесплатной юридической помощи, устанавливается нормативным правовым актом Правительства Чукотского автономного округа.</w:t>
      </w:r>
    </w:p>
    <w:p w:rsidR="00E351BA" w:rsidRDefault="00E351BA">
      <w:pPr>
        <w:pStyle w:val="ConsPlusNormal"/>
        <w:jc w:val="both"/>
      </w:pPr>
      <w:r>
        <w:t xml:space="preserve">(часть 2 введена </w:t>
      </w:r>
      <w:hyperlink r:id="rId38">
        <w:r>
          <w:rPr>
            <w:color w:val="0000FF"/>
          </w:rPr>
          <w:t>Законом</w:t>
        </w:r>
      </w:hyperlink>
      <w:r>
        <w:t xml:space="preserve"> Чукотского автономного округа от 01.04.2024 N 11-ОЗ)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9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 xml:space="preserve">Материально-техническое и финансовое обеспечение оказания юридической помощи в труднодоступных и малонаселенных местностях осуществляется путем государственной поддержки деятельности юридических консультаций в соответствии с </w:t>
      </w:r>
      <w:hyperlink r:id="rId39">
        <w:r>
          <w:rPr>
            <w:color w:val="0000FF"/>
          </w:rPr>
          <w:t>Законом</w:t>
        </w:r>
      </w:hyperlink>
      <w:r>
        <w:t xml:space="preserve"> Чукотского автономного округа от 4 июня 2003 года N 25-ОЗ "Об обеспечении деятельности юридических консультаций Адвокатской палаты Чукотского автономного округа".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Title"/>
        <w:ind w:firstLine="540"/>
        <w:jc w:val="both"/>
        <w:outlineLvl w:val="0"/>
      </w:pPr>
      <w:r>
        <w:t>Статья 10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ind w:firstLine="540"/>
        <w:jc w:val="both"/>
      </w:pPr>
      <w:r>
        <w:t>1. Настоящий Закон вступает в силу через 10 дней со дня его официального опубликования.</w:t>
      </w:r>
    </w:p>
    <w:p w:rsidR="00E351BA" w:rsidRDefault="00E351BA">
      <w:pPr>
        <w:pStyle w:val="ConsPlusNormal"/>
        <w:spacing w:before="220"/>
        <w:ind w:firstLine="540"/>
        <w:jc w:val="both"/>
      </w:pPr>
      <w:r>
        <w:t>2. Предложить Правительству Чукотского автономного округа привести свои нормативные правовые акты в соответствие с настоящим Законом, а также разработать нормативные правовые акты, обеспечивающие реализацию настоящего Закона.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jc w:val="right"/>
      </w:pPr>
      <w:r>
        <w:t>Губернатор Чукотского</w:t>
      </w:r>
    </w:p>
    <w:p w:rsidR="00E351BA" w:rsidRDefault="00E351BA">
      <w:pPr>
        <w:pStyle w:val="ConsPlusNormal"/>
        <w:jc w:val="right"/>
      </w:pPr>
      <w:r>
        <w:t>автономного округа</w:t>
      </w:r>
    </w:p>
    <w:p w:rsidR="00E351BA" w:rsidRDefault="00E351BA">
      <w:pPr>
        <w:pStyle w:val="ConsPlusNormal"/>
        <w:jc w:val="right"/>
      </w:pPr>
      <w:r>
        <w:t>Р.В.КОПИН</w:t>
      </w:r>
    </w:p>
    <w:p w:rsidR="00E351BA" w:rsidRDefault="00E351BA">
      <w:pPr>
        <w:pStyle w:val="ConsPlusNormal"/>
      </w:pPr>
      <w:r>
        <w:t>г. Анадырь</w:t>
      </w:r>
    </w:p>
    <w:p w:rsidR="00E351BA" w:rsidRDefault="00E351BA">
      <w:pPr>
        <w:pStyle w:val="ConsPlusNormal"/>
        <w:spacing w:before="220"/>
      </w:pPr>
      <w:r>
        <w:t>23 апреля 2012 года</w:t>
      </w:r>
    </w:p>
    <w:p w:rsidR="00E351BA" w:rsidRDefault="00E351BA">
      <w:pPr>
        <w:pStyle w:val="ConsPlusNormal"/>
        <w:spacing w:before="220"/>
      </w:pPr>
      <w:r>
        <w:t>N 28-ОЗ</w:t>
      </w:r>
    </w:p>
    <w:p w:rsidR="00E351BA" w:rsidRDefault="00E351BA">
      <w:pPr>
        <w:pStyle w:val="ConsPlusNormal"/>
        <w:jc w:val="both"/>
      </w:pPr>
    </w:p>
    <w:p w:rsidR="00E351BA" w:rsidRDefault="00E351BA">
      <w:pPr>
        <w:pStyle w:val="ConsPlusNormal"/>
        <w:jc w:val="both"/>
      </w:pPr>
    </w:p>
    <w:p w:rsidR="00CC702F" w:rsidRDefault="00CC702F"/>
    <w:sectPr w:rsidR="00CC702F" w:rsidSect="006B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BA"/>
    <w:rsid w:val="00CC702F"/>
    <w:rsid w:val="00E3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2F74"/>
  <w15:chartTrackingRefBased/>
  <w15:docId w15:val="{CB4A32E6-7D5C-4592-A64B-20E0FE7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1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2&amp;n=21127&amp;dst=100011" TargetMode="External"/><Relationship Id="rId13" Type="http://schemas.openxmlformats.org/officeDocument/2006/relationships/hyperlink" Target="https://login.consultant.ru/link/?req=doc&amp;base=RLAW442&amp;n=21127&amp;dst=100015" TargetMode="External"/><Relationship Id="rId18" Type="http://schemas.openxmlformats.org/officeDocument/2006/relationships/hyperlink" Target="https://login.consultant.ru/link/?req=doc&amp;base=RLAW442&amp;n=21127&amp;dst=100020" TargetMode="External"/><Relationship Id="rId26" Type="http://schemas.openxmlformats.org/officeDocument/2006/relationships/hyperlink" Target="https://login.consultant.ru/link/?req=doc&amp;base=RLAW442&amp;n=9925&amp;dst=100016" TargetMode="External"/><Relationship Id="rId39" Type="http://schemas.openxmlformats.org/officeDocument/2006/relationships/hyperlink" Target="https://login.consultant.ru/link/?req=doc&amp;base=RLAW442&amp;n=84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42&amp;n=34277&amp;dst=100009" TargetMode="External"/><Relationship Id="rId34" Type="http://schemas.openxmlformats.org/officeDocument/2006/relationships/hyperlink" Target="https://login.consultant.ru/link/?req=doc&amp;base=LAW&amp;n=451733&amp;dst=100083" TargetMode="External"/><Relationship Id="rId7" Type="http://schemas.openxmlformats.org/officeDocument/2006/relationships/hyperlink" Target="https://login.consultant.ru/link/?req=doc&amp;base=RLAW442&amp;n=9925&amp;dst=100010" TargetMode="External"/><Relationship Id="rId12" Type="http://schemas.openxmlformats.org/officeDocument/2006/relationships/hyperlink" Target="https://login.consultant.ru/link/?req=doc&amp;base=RLAW442&amp;n=9925&amp;dst=100011" TargetMode="External"/><Relationship Id="rId17" Type="http://schemas.openxmlformats.org/officeDocument/2006/relationships/hyperlink" Target="https://login.consultant.ru/link/?req=doc&amp;base=RLAW442&amp;n=21127&amp;dst=100019" TargetMode="External"/><Relationship Id="rId25" Type="http://schemas.openxmlformats.org/officeDocument/2006/relationships/hyperlink" Target="https://login.consultant.ru/link/?req=doc&amp;base=RLAW442&amp;n=9925&amp;dst=100014" TargetMode="External"/><Relationship Id="rId33" Type="http://schemas.openxmlformats.org/officeDocument/2006/relationships/hyperlink" Target="https://login.consultant.ru/link/?req=doc&amp;base=RLAW442&amp;n=32930&amp;dst=100020" TargetMode="External"/><Relationship Id="rId38" Type="http://schemas.openxmlformats.org/officeDocument/2006/relationships/hyperlink" Target="https://login.consultant.ru/link/?req=doc&amp;base=RLAW442&amp;n=32930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42&amp;n=21127&amp;dst=100018" TargetMode="External"/><Relationship Id="rId20" Type="http://schemas.openxmlformats.org/officeDocument/2006/relationships/hyperlink" Target="https://login.consultant.ru/link/?req=doc&amp;base=RLAW442&amp;n=34456&amp;dst=100008" TargetMode="External"/><Relationship Id="rId29" Type="http://schemas.openxmlformats.org/officeDocument/2006/relationships/hyperlink" Target="https://login.consultant.ru/link/?req=doc&amp;base=RLAW442&amp;n=32930&amp;dst=10001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42&amp;n=21127&amp;dst=100010" TargetMode="External"/><Relationship Id="rId11" Type="http://schemas.openxmlformats.org/officeDocument/2006/relationships/hyperlink" Target="https://login.consultant.ru/link/?req=doc&amp;base=LAW&amp;n=451733&amp;dst=100121" TargetMode="External"/><Relationship Id="rId24" Type="http://schemas.openxmlformats.org/officeDocument/2006/relationships/hyperlink" Target="https://login.consultant.ru/link/?req=doc&amp;base=LAW&amp;n=451733&amp;dst=100121" TargetMode="External"/><Relationship Id="rId32" Type="http://schemas.openxmlformats.org/officeDocument/2006/relationships/hyperlink" Target="https://login.consultant.ru/link/?req=doc&amp;base=RLAW442&amp;n=30507&amp;dst=100012" TargetMode="External"/><Relationship Id="rId37" Type="http://schemas.openxmlformats.org/officeDocument/2006/relationships/hyperlink" Target="https://login.consultant.ru/link/?req=doc&amp;base=LAW&amp;n=451733&amp;dst=5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33&amp;dst=100019" TargetMode="External"/><Relationship Id="rId15" Type="http://schemas.openxmlformats.org/officeDocument/2006/relationships/hyperlink" Target="https://login.consultant.ru/link/?req=doc&amp;base=RLAW442&amp;n=21127&amp;dst=100016" TargetMode="External"/><Relationship Id="rId23" Type="http://schemas.openxmlformats.org/officeDocument/2006/relationships/hyperlink" Target="https://login.consultant.ru/link/?req=doc&amp;base=RLAW442&amp;n=32930&amp;dst=100013" TargetMode="External"/><Relationship Id="rId28" Type="http://schemas.openxmlformats.org/officeDocument/2006/relationships/hyperlink" Target="https://login.consultant.ru/link/?req=doc&amp;base=LAW&amp;n=451733" TargetMode="External"/><Relationship Id="rId36" Type="http://schemas.openxmlformats.org/officeDocument/2006/relationships/hyperlink" Target="https://login.consultant.ru/link/?req=doc&amp;base=RLAW442&amp;n=32930&amp;dst=100026" TargetMode="External"/><Relationship Id="rId10" Type="http://schemas.openxmlformats.org/officeDocument/2006/relationships/hyperlink" Target="https://login.consultant.ru/link/?req=doc&amp;base=RLAW442&amp;n=32930&amp;dst=100009" TargetMode="External"/><Relationship Id="rId19" Type="http://schemas.openxmlformats.org/officeDocument/2006/relationships/hyperlink" Target="https://login.consultant.ru/link/?req=doc&amp;base=LAW&amp;n=494439&amp;dst=100339" TargetMode="External"/><Relationship Id="rId31" Type="http://schemas.openxmlformats.org/officeDocument/2006/relationships/hyperlink" Target="https://login.consultant.ru/link/?req=doc&amp;base=RLAW442&amp;n=32930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733" TargetMode="External"/><Relationship Id="rId14" Type="http://schemas.openxmlformats.org/officeDocument/2006/relationships/hyperlink" Target="https://login.consultant.ru/link/?req=doc&amp;base=RLAW442&amp;n=11426&amp;dst=100010" TargetMode="External"/><Relationship Id="rId22" Type="http://schemas.openxmlformats.org/officeDocument/2006/relationships/hyperlink" Target="https://login.consultant.ru/link/?req=doc&amp;base=RLAW442&amp;n=32930&amp;dst=100012" TargetMode="External"/><Relationship Id="rId27" Type="http://schemas.openxmlformats.org/officeDocument/2006/relationships/hyperlink" Target="https://login.consultant.ru/link/?req=doc&amp;base=RLAW442&amp;n=10610&amp;dst=100010" TargetMode="External"/><Relationship Id="rId30" Type="http://schemas.openxmlformats.org/officeDocument/2006/relationships/hyperlink" Target="https://login.consultant.ru/link/?req=doc&amp;base=RLAW442&amp;n=17010&amp;dst=100009" TargetMode="External"/><Relationship Id="rId35" Type="http://schemas.openxmlformats.org/officeDocument/2006/relationships/hyperlink" Target="https://login.consultant.ru/link/?req=doc&amp;base=RLAW442&amp;n=9925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Храмкова Анастасия Андреевна</dc:creator>
  <cp:keywords/>
  <dc:description/>
  <cp:lastModifiedBy>Храмкова Анастасия Андреевна</cp:lastModifiedBy>
  <cp:revision>1</cp:revision>
  <dcterms:created xsi:type="dcterms:W3CDTF">2025-02-09T23:02:00Z</dcterms:created>
  <dcterms:modified xsi:type="dcterms:W3CDTF">2025-02-09T23:02:00Z</dcterms:modified>
</cp:coreProperties>
</file>